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7418" w14:textId="77777777" w:rsidR="00E82C13" w:rsidRPr="001C0037" w:rsidRDefault="00E82C13" w:rsidP="00E82C13">
      <w:pPr>
        <w:jc w:val="left"/>
        <w:rPr>
          <w:rFonts w:cs="Arial"/>
          <w:b/>
          <w:bCs/>
          <w:color w:val="000000"/>
          <w:sz w:val="28"/>
          <w:szCs w:val="28"/>
          <w:lang w:eastAsia="zh-CN"/>
        </w:rPr>
      </w:pPr>
      <w:r w:rsidRPr="001C0037">
        <w:rPr>
          <w:rFonts w:cs="Arial"/>
          <w:b/>
          <w:bCs/>
          <w:color w:val="000000"/>
          <w:sz w:val="28"/>
          <w:szCs w:val="28"/>
          <w:lang w:eastAsia="zh-CN"/>
        </w:rPr>
        <w:t xml:space="preserve">News </w:t>
      </w:r>
      <w:r w:rsidR="000F7B30" w:rsidRPr="001C0037">
        <w:rPr>
          <w:rFonts w:cs="Arial"/>
          <w:b/>
          <w:bCs/>
          <w:color w:val="000000"/>
          <w:sz w:val="28"/>
          <w:szCs w:val="28"/>
          <w:lang w:eastAsia="zh-CN"/>
        </w:rPr>
        <w:t xml:space="preserve">from </w:t>
      </w:r>
      <w:r w:rsidR="0066610A" w:rsidRPr="001C0037">
        <w:rPr>
          <w:rFonts w:cs="Arial"/>
          <w:b/>
          <w:bCs/>
          <w:color w:val="000000"/>
          <w:sz w:val="28"/>
          <w:szCs w:val="28"/>
          <w:lang w:eastAsia="zh-CN"/>
        </w:rPr>
        <w:t xml:space="preserve">export control: </w:t>
      </w:r>
    </w:p>
    <w:p w14:paraId="0376531B" w14:textId="33FB82FC" w:rsidR="006E41F4" w:rsidRPr="001C0037" w:rsidRDefault="00D5184C" w:rsidP="00E82C13">
      <w:pPr>
        <w:jc w:val="left"/>
        <w:rPr>
          <w:rFonts w:cs="Arial"/>
          <w:b/>
          <w:bCs/>
          <w:color w:val="000000"/>
          <w:sz w:val="28"/>
          <w:szCs w:val="28"/>
          <w:lang w:eastAsia="zh-CN"/>
        </w:rPr>
      </w:pPr>
      <w:r w:rsidRPr="001C0037">
        <w:rPr>
          <w:rFonts w:cs="Arial"/>
          <w:b/>
          <w:bCs/>
          <w:color w:val="000000"/>
          <w:sz w:val="28"/>
          <w:szCs w:val="28"/>
          <w:lang w:eastAsia="zh-CN"/>
        </w:rPr>
        <w:t xml:space="preserve">Russia/Belarus embargo </w:t>
      </w:r>
      <w:r w:rsidR="00E82C13" w:rsidRPr="001C0037">
        <w:rPr>
          <w:rFonts w:cs="Arial"/>
          <w:b/>
          <w:bCs/>
          <w:color w:val="000000"/>
          <w:sz w:val="28"/>
          <w:szCs w:val="28"/>
          <w:lang w:eastAsia="zh-CN"/>
        </w:rPr>
        <w:t>–</w:t>
      </w:r>
      <w:r w:rsidR="00864E99" w:rsidRPr="001C0037">
        <w:rPr>
          <w:rFonts w:cs="Arial"/>
          <w:b/>
          <w:bCs/>
          <w:color w:val="000000"/>
          <w:sz w:val="28"/>
          <w:szCs w:val="28"/>
          <w:lang w:eastAsia="zh-CN"/>
        </w:rPr>
        <w:t xml:space="preserve"> 18th </w:t>
      </w:r>
      <w:r w:rsidR="00294840" w:rsidRPr="001C0037">
        <w:rPr>
          <w:rFonts w:cs="Arial"/>
          <w:b/>
          <w:bCs/>
          <w:color w:val="000000"/>
          <w:sz w:val="28"/>
          <w:szCs w:val="28"/>
          <w:lang w:eastAsia="zh-CN"/>
        </w:rPr>
        <w:t>EU</w:t>
      </w:r>
      <w:r w:rsidR="00864E99" w:rsidRPr="001C0037">
        <w:rPr>
          <w:rFonts w:cs="Arial"/>
          <w:b/>
          <w:bCs/>
          <w:color w:val="000000"/>
          <w:sz w:val="28"/>
          <w:szCs w:val="28"/>
          <w:lang w:eastAsia="zh-CN"/>
        </w:rPr>
        <w:t xml:space="preserve"> sanctions package </w:t>
      </w:r>
      <w:r w:rsidR="007769FA" w:rsidRPr="001C0037">
        <w:rPr>
          <w:rFonts w:cs="Arial"/>
          <w:b/>
          <w:bCs/>
          <w:color w:val="000000"/>
          <w:sz w:val="28"/>
          <w:szCs w:val="28"/>
          <w:lang w:eastAsia="zh-CN"/>
        </w:rPr>
        <w:t xml:space="preserve">of </w:t>
      </w:r>
      <w:r w:rsidR="00864E99" w:rsidRPr="001C0037">
        <w:rPr>
          <w:rFonts w:cs="Arial"/>
          <w:b/>
          <w:bCs/>
          <w:color w:val="000000"/>
          <w:sz w:val="28"/>
          <w:szCs w:val="28"/>
          <w:lang w:eastAsia="zh-CN"/>
        </w:rPr>
        <w:t>July 18, 2025</w:t>
      </w:r>
    </w:p>
    <w:p w14:paraId="55C1A403" w14:textId="77777777" w:rsidR="00F22D1B" w:rsidRPr="001C0037" w:rsidRDefault="00F22D1B" w:rsidP="00E82C13">
      <w:pPr>
        <w:jc w:val="left"/>
        <w:rPr>
          <w:rFonts w:cs="Arial"/>
          <w:b/>
          <w:bCs/>
          <w:color w:val="000000"/>
          <w:sz w:val="28"/>
          <w:szCs w:val="28"/>
          <w:lang w:eastAsia="zh-CN"/>
        </w:rPr>
      </w:pPr>
    </w:p>
    <w:p w14:paraId="0F78D372" w14:textId="4DF72D56" w:rsidR="008A04E6" w:rsidRPr="001C0037" w:rsidRDefault="00762CCB" w:rsidP="00E82C13">
      <w:pPr>
        <w:jc w:val="left"/>
        <w:rPr>
          <w:sz w:val="24"/>
        </w:rPr>
      </w:pPr>
      <w:bookmarkStart w:id="0" w:name="_Hlk126748312"/>
      <w:r w:rsidRPr="001C0037">
        <w:rPr>
          <w:sz w:val="24"/>
        </w:rPr>
        <w:t xml:space="preserve">For </w:t>
      </w:r>
      <w:r w:rsidR="008A04E6" w:rsidRPr="001C0037">
        <w:rPr>
          <w:sz w:val="24"/>
        </w:rPr>
        <w:t>a good year</w:t>
      </w:r>
      <w:r w:rsidRPr="001C0037">
        <w:rPr>
          <w:sz w:val="24"/>
        </w:rPr>
        <w:t xml:space="preserve">, </w:t>
      </w:r>
      <w:r w:rsidR="008A04E6" w:rsidRPr="001C0037">
        <w:rPr>
          <w:sz w:val="24"/>
        </w:rPr>
        <w:t xml:space="preserve">things appeared </w:t>
      </w:r>
      <w:r w:rsidR="00C0358B" w:rsidRPr="001C0037">
        <w:rPr>
          <w:sz w:val="24"/>
        </w:rPr>
        <w:t xml:space="preserve">relatively </w:t>
      </w:r>
      <w:r w:rsidR="008A04E6" w:rsidRPr="001C0037">
        <w:rPr>
          <w:sz w:val="24"/>
        </w:rPr>
        <w:t xml:space="preserve">calm for importing and exporting companies: While the 14th package </w:t>
      </w:r>
      <w:r w:rsidR="005A5B20" w:rsidRPr="001C0037">
        <w:rPr>
          <w:sz w:val="24"/>
        </w:rPr>
        <w:t xml:space="preserve">of sanctions tightening </w:t>
      </w:r>
      <w:r w:rsidR="00BD3A8A" w:rsidRPr="001C0037">
        <w:rPr>
          <w:sz w:val="24"/>
        </w:rPr>
        <w:t xml:space="preserve">the embargo on Russia and Belarus </w:t>
      </w:r>
      <w:r w:rsidR="005A5B20" w:rsidRPr="001C0037">
        <w:rPr>
          <w:sz w:val="24"/>
        </w:rPr>
        <w:t>on June</w:t>
      </w:r>
      <w:r w:rsidR="006616BE" w:rsidRPr="001C0037">
        <w:rPr>
          <w:sz w:val="24"/>
        </w:rPr>
        <w:t xml:space="preserve"> 24 </w:t>
      </w:r>
      <w:r w:rsidR="00294840" w:rsidRPr="001C0037">
        <w:rPr>
          <w:sz w:val="24"/>
        </w:rPr>
        <w:t>and 29</w:t>
      </w:r>
      <w:r w:rsidR="005A5B20" w:rsidRPr="001C0037">
        <w:rPr>
          <w:sz w:val="24"/>
        </w:rPr>
        <w:t xml:space="preserve">, 2024, still </w:t>
      </w:r>
      <w:r w:rsidR="00294840" w:rsidRPr="001C0037">
        <w:rPr>
          <w:sz w:val="24"/>
        </w:rPr>
        <w:t xml:space="preserve">included such </w:t>
      </w:r>
      <w:r w:rsidR="005A5B20" w:rsidRPr="001C0037">
        <w:rPr>
          <w:sz w:val="24"/>
        </w:rPr>
        <w:t xml:space="preserve">"exotic" </w:t>
      </w:r>
      <w:r w:rsidR="00B7770B" w:rsidRPr="001C0037">
        <w:rPr>
          <w:sz w:val="24"/>
        </w:rPr>
        <w:t xml:space="preserve">and far-reaching </w:t>
      </w:r>
      <w:r w:rsidR="005A5B20" w:rsidRPr="001C0037">
        <w:rPr>
          <w:sz w:val="24"/>
        </w:rPr>
        <w:t>innovations as a "best</w:t>
      </w:r>
      <w:r w:rsidR="001C0037">
        <w:rPr>
          <w:sz w:val="24"/>
        </w:rPr>
        <w:t xml:space="preserve"> </w:t>
      </w:r>
      <w:r w:rsidR="005A5B20" w:rsidRPr="001C0037">
        <w:rPr>
          <w:sz w:val="24"/>
        </w:rPr>
        <w:t xml:space="preserve">efforts obligation" </w:t>
      </w:r>
      <w:r w:rsidR="00D0787C" w:rsidRPr="001C0037">
        <w:rPr>
          <w:sz w:val="24"/>
        </w:rPr>
        <w:t xml:space="preserve">and </w:t>
      </w:r>
      <w:r w:rsidR="005A5B20" w:rsidRPr="001C0037">
        <w:rPr>
          <w:sz w:val="24"/>
        </w:rPr>
        <w:t xml:space="preserve">a </w:t>
      </w:r>
      <w:r w:rsidR="00184D58" w:rsidRPr="001C0037">
        <w:rPr>
          <w:sz w:val="24"/>
        </w:rPr>
        <w:t>"</w:t>
      </w:r>
      <w:r w:rsidR="00D0787C" w:rsidRPr="001C0037">
        <w:rPr>
          <w:sz w:val="24"/>
        </w:rPr>
        <w:t xml:space="preserve">due </w:t>
      </w:r>
      <w:r w:rsidR="00184D58" w:rsidRPr="001C0037">
        <w:rPr>
          <w:sz w:val="24"/>
        </w:rPr>
        <w:t xml:space="preserve">diligence obligation" </w:t>
      </w:r>
      <w:r w:rsidR="00DC5806" w:rsidRPr="001C0037">
        <w:rPr>
          <w:sz w:val="24"/>
        </w:rPr>
        <w:t xml:space="preserve">or </w:t>
      </w:r>
      <w:r w:rsidR="00294840" w:rsidRPr="001C0037">
        <w:rPr>
          <w:sz w:val="24"/>
        </w:rPr>
        <w:t xml:space="preserve">provided for extensions to the "no-Russia clause" and introduced a "no-Belarus clause" for the first time, </w:t>
      </w:r>
      <w:r w:rsidR="00184D58" w:rsidRPr="001C0037">
        <w:rPr>
          <w:sz w:val="24"/>
        </w:rPr>
        <w:t xml:space="preserve">the following sanctions packages Nos. 15, 16, and 17 contained no </w:t>
      </w:r>
      <w:r w:rsidR="00D0787C" w:rsidRPr="001C0037">
        <w:rPr>
          <w:sz w:val="24"/>
        </w:rPr>
        <w:t xml:space="preserve">major </w:t>
      </w:r>
      <w:r w:rsidR="001C3FE2" w:rsidRPr="001C0037">
        <w:rPr>
          <w:sz w:val="24"/>
        </w:rPr>
        <w:t xml:space="preserve">surprises </w:t>
      </w:r>
      <w:r w:rsidR="00DC66AF" w:rsidRPr="001C0037">
        <w:rPr>
          <w:sz w:val="24"/>
        </w:rPr>
        <w:t>or significant innovations,</w:t>
      </w:r>
      <w:r w:rsidR="002C7867" w:rsidRPr="001C0037">
        <w:rPr>
          <w:sz w:val="24"/>
        </w:rPr>
        <w:t xml:space="preserve"> at least for trade</w:t>
      </w:r>
      <w:r w:rsidR="00DC66AF" w:rsidRPr="001C0037">
        <w:rPr>
          <w:sz w:val="24"/>
        </w:rPr>
        <w:t xml:space="preserve">: </w:t>
      </w:r>
      <w:r w:rsidR="00B7770B" w:rsidRPr="001C0037">
        <w:rPr>
          <w:sz w:val="24"/>
        </w:rPr>
        <w:t>As expected</w:t>
      </w:r>
      <w:r w:rsidR="001C3FE2" w:rsidRPr="001C0037">
        <w:rPr>
          <w:sz w:val="24"/>
        </w:rPr>
        <w:t xml:space="preserve">, </w:t>
      </w:r>
      <w:r w:rsidR="00F750AA" w:rsidRPr="001C0037">
        <w:rPr>
          <w:sz w:val="24"/>
        </w:rPr>
        <w:t xml:space="preserve">the </w:t>
      </w:r>
      <w:r w:rsidR="001C3FE2" w:rsidRPr="001C0037">
        <w:rPr>
          <w:sz w:val="24"/>
        </w:rPr>
        <w:t xml:space="preserve">lists of names and goods were expanded, </w:t>
      </w:r>
      <w:r w:rsidR="00747BC9" w:rsidRPr="001C0037">
        <w:rPr>
          <w:sz w:val="24"/>
        </w:rPr>
        <w:t xml:space="preserve">the </w:t>
      </w:r>
      <w:r w:rsidR="003A39CA" w:rsidRPr="001C0037">
        <w:rPr>
          <w:sz w:val="24"/>
        </w:rPr>
        <w:t>best</w:t>
      </w:r>
      <w:r w:rsidR="001C0037">
        <w:rPr>
          <w:sz w:val="24"/>
        </w:rPr>
        <w:t xml:space="preserve"> </w:t>
      </w:r>
      <w:r w:rsidR="003A39CA" w:rsidRPr="001C0037">
        <w:rPr>
          <w:sz w:val="24"/>
        </w:rPr>
        <w:t xml:space="preserve">efforts </w:t>
      </w:r>
      <w:r w:rsidR="00D0787C" w:rsidRPr="001C0037">
        <w:rPr>
          <w:sz w:val="24"/>
        </w:rPr>
        <w:t xml:space="preserve">and </w:t>
      </w:r>
      <w:r w:rsidR="003A39CA" w:rsidRPr="001C0037">
        <w:rPr>
          <w:sz w:val="24"/>
        </w:rPr>
        <w:t xml:space="preserve">due diligence obligations </w:t>
      </w:r>
      <w:r w:rsidR="00747BC9" w:rsidRPr="001C0037">
        <w:rPr>
          <w:sz w:val="24"/>
        </w:rPr>
        <w:t xml:space="preserve">and the already familiar </w:t>
      </w:r>
      <w:r w:rsidR="00752CC4" w:rsidRPr="001C0037">
        <w:rPr>
          <w:sz w:val="24"/>
        </w:rPr>
        <w:t xml:space="preserve">service and software bans </w:t>
      </w:r>
      <w:r w:rsidR="00C0358B" w:rsidRPr="001C0037">
        <w:rPr>
          <w:sz w:val="24"/>
        </w:rPr>
        <w:t xml:space="preserve">were </w:t>
      </w:r>
      <w:r w:rsidR="00747BC9" w:rsidRPr="001C0037">
        <w:rPr>
          <w:sz w:val="24"/>
        </w:rPr>
        <w:t>extended</w:t>
      </w:r>
      <w:r w:rsidR="00B7770B" w:rsidRPr="001C0037">
        <w:rPr>
          <w:sz w:val="24"/>
        </w:rPr>
        <w:t xml:space="preserve"> once again</w:t>
      </w:r>
      <w:r w:rsidR="00D0787C" w:rsidRPr="001C0037">
        <w:rPr>
          <w:sz w:val="24"/>
        </w:rPr>
        <w:t xml:space="preserve">, and the Belarus embargo was brought even more into line with the Russia embargo. </w:t>
      </w:r>
      <w:r w:rsidR="00B7770B" w:rsidRPr="001C0037">
        <w:rPr>
          <w:sz w:val="24"/>
        </w:rPr>
        <w:t xml:space="preserve">However, </w:t>
      </w:r>
      <w:r w:rsidR="002C7867" w:rsidRPr="001C0037">
        <w:rPr>
          <w:sz w:val="24"/>
        </w:rPr>
        <w:t xml:space="preserve">the focus </w:t>
      </w:r>
      <w:r w:rsidR="00B7770B" w:rsidRPr="001C0037">
        <w:rPr>
          <w:sz w:val="24"/>
        </w:rPr>
        <w:t xml:space="preserve">of the embargo tightening </w:t>
      </w:r>
      <w:r w:rsidR="002C7867" w:rsidRPr="001C0037">
        <w:rPr>
          <w:sz w:val="24"/>
        </w:rPr>
        <w:t xml:space="preserve">was </w:t>
      </w:r>
      <w:r w:rsidR="00AD0AB4" w:rsidRPr="001C0037">
        <w:rPr>
          <w:sz w:val="24"/>
        </w:rPr>
        <w:t xml:space="preserve">more on </w:t>
      </w:r>
      <w:r w:rsidR="00980436" w:rsidRPr="001C0037">
        <w:rPr>
          <w:sz w:val="24"/>
        </w:rPr>
        <w:t xml:space="preserve">the </w:t>
      </w:r>
      <w:r w:rsidR="002C7867" w:rsidRPr="001C0037">
        <w:rPr>
          <w:sz w:val="24"/>
        </w:rPr>
        <w:t>"shadow fleet,</w:t>
      </w:r>
      <w:r w:rsidR="00AD0AB4" w:rsidRPr="001C0037">
        <w:rPr>
          <w:sz w:val="24"/>
        </w:rPr>
        <w:t xml:space="preserve">" </w:t>
      </w:r>
      <w:r w:rsidR="00B7770B" w:rsidRPr="001C0037">
        <w:rPr>
          <w:sz w:val="24"/>
        </w:rPr>
        <w:t xml:space="preserve">further </w:t>
      </w:r>
      <w:r w:rsidR="00AD0AB4" w:rsidRPr="001C0037">
        <w:rPr>
          <w:sz w:val="24"/>
        </w:rPr>
        <w:t>restrictions on access to airports, ports, and locks</w:t>
      </w:r>
      <w:r w:rsidR="00C55C0C" w:rsidRPr="001C0037">
        <w:rPr>
          <w:sz w:val="24"/>
        </w:rPr>
        <w:t xml:space="preserve">, and </w:t>
      </w:r>
      <w:r w:rsidR="008B6F1A" w:rsidRPr="001C0037">
        <w:rPr>
          <w:sz w:val="24"/>
        </w:rPr>
        <w:t xml:space="preserve">measures against </w:t>
      </w:r>
      <w:r w:rsidR="00C55C0C" w:rsidRPr="001C0037">
        <w:rPr>
          <w:sz w:val="24"/>
        </w:rPr>
        <w:t xml:space="preserve">Russian </w:t>
      </w:r>
      <w:r w:rsidR="00AD0AB4" w:rsidRPr="001C0037">
        <w:rPr>
          <w:sz w:val="24"/>
        </w:rPr>
        <w:t xml:space="preserve">oil </w:t>
      </w:r>
      <w:r w:rsidR="00C55C0C" w:rsidRPr="001C0037">
        <w:rPr>
          <w:sz w:val="24"/>
        </w:rPr>
        <w:t xml:space="preserve">and </w:t>
      </w:r>
      <w:r w:rsidR="00AD0AB4" w:rsidRPr="001C0037">
        <w:rPr>
          <w:sz w:val="24"/>
        </w:rPr>
        <w:t>gas exploration and production.</w:t>
      </w:r>
    </w:p>
    <w:p w14:paraId="4C5C38F9" w14:textId="77777777" w:rsidR="00202726" w:rsidRPr="001C0037" w:rsidRDefault="00202726" w:rsidP="00E82C13">
      <w:pPr>
        <w:jc w:val="left"/>
        <w:rPr>
          <w:sz w:val="24"/>
        </w:rPr>
      </w:pPr>
    </w:p>
    <w:p w14:paraId="3EEEBF0F" w14:textId="00EB458E" w:rsidR="00202726" w:rsidRPr="001C0037" w:rsidRDefault="00202726" w:rsidP="00E82C13">
      <w:pPr>
        <w:jc w:val="left"/>
        <w:rPr>
          <w:sz w:val="24"/>
        </w:rPr>
      </w:pPr>
      <w:r w:rsidRPr="001C0037">
        <w:rPr>
          <w:sz w:val="24"/>
        </w:rPr>
        <w:t xml:space="preserve">What changes does the 18th package of sanctions of July 18, 2025, bring </w:t>
      </w:r>
      <w:r w:rsidR="002C2524" w:rsidRPr="001C0037">
        <w:rPr>
          <w:sz w:val="24"/>
        </w:rPr>
        <w:t>for importing and exporting companies</w:t>
      </w:r>
      <w:r w:rsidRPr="001C0037">
        <w:rPr>
          <w:sz w:val="24"/>
        </w:rPr>
        <w:t>?</w:t>
      </w:r>
    </w:p>
    <w:p w14:paraId="68E431BA" w14:textId="77777777" w:rsidR="00B7770B" w:rsidRPr="001C0037" w:rsidRDefault="00B7770B" w:rsidP="00E82C13">
      <w:pPr>
        <w:jc w:val="left"/>
        <w:rPr>
          <w:sz w:val="24"/>
        </w:rPr>
      </w:pPr>
    </w:p>
    <w:p w14:paraId="2A679AA9" w14:textId="01BD93DF" w:rsidR="00202726" w:rsidRPr="001C0037" w:rsidRDefault="00202726" w:rsidP="00E82C13">
      <w:pPr>
        <w:jc w:val="left"/>
        <w:rPr>
          <w:b/>
          <w:bCs/>
          <w:sz w:val="20"/>
          <w:szCs w:val="20"/>
        </w:rPr>
      </w:pPr>
      <w:r w:rsidRPr="001C0037">
        <w:rPr>
          <w:b/>
          <w:bCs/>
          <w:sz w:val="20"/>
          <w:szCs w:val="20"/>
          <w:highlight w:val="lightGray"/>
        </w:rPr>
        <w:t xml:space="preserve">Announcement: </w:t>
      </w:r>
      <w:r w:rsidR="00536372" w:rsidRPr="001C0037">
        <w:rPr>
          <w:b/>
          <w:bCs/>
          <w:sz w:val="20"/>
          <w:szCs w:val="20"/>
          <w:highlight w:val="lightGray"/>
        </w:rPr>
        <w:t>"Strength is the only language Russia will understand."</w:t>
      </w:r>
    </w:p>
    <w:p w14:paraId="527A8C2E" w14:textId="77777777" w:rsidR="00536372" w:rsidRPr="001C0037" w:rsidRDefault="00536372" w:rsidP="00E82C13">
      <w:pPr>
        <w:jc w:val="left"/>
        <w:rPr>
          <w:sz w:val="20"/>
          <w:szCs w:val="20"/>
        </w:rPr>
      </w:pPr>
    </w:p>
    <w:p w14:paraId="036B2DB1" w14:textId="221ADFB4" w:rsidR="002C523D" w:rsidRPr="001C0037" w:rsidRDefault="00B13ACD" w:rsidP="00E82C13">
      <w:pPr>
        <w:jc w:val="left"/>
        <w:rPr>
          <w:sz w:val="20"/>
          <w:szCs w:val="20"/>
        </w:rPr>
      </w:pPr>
      <w:r w:rsidRPr="001C0037">
        <w:rPr>
          <w:sz w:val="20"/>
          <w:szCs w:val="20"/>
        </w:rPr>
        <w:t xml:space="preserve">The 18th package of sanctions </w:t>
      </w:r>
      <w:r w:rsidR="00D22463" w:rsidRPr="001C0037">
        <w:rPr>
          <w:sz w:val="20"/>
          <w:szCs w:val="20"/>
        </w:rPr>
        <w:t xml:space="preserve">announced by the EU </w:t>
      </w:r>
      <w:r w:rsidR="006A2161" w:rsidRPr="001C0037">
        <w:rPr>
          <w:sz w:val="20"/>
          <w:szCs w:val="20"/>
        </w:rPr>
        <w:t xml:space="preserve">at the beginning of June 2025 </w:t>
      </w:r>
      <w:r w:rsidRPr="001C0037">
        <w:rPr>
          <w:sz w:val="20"/>
          <w:szCs w:val="20"/>
        </w:rPr>
        <w:t xml:space="preserve">was described </w:t>
      </w:r>
      <w:r w:rsidR="0087671C" w:rsidRPr="001C0037">
        <w:rPr>
          <w:sz w:val="20"/>
          <w:szCs w:val="20"/>
        </w:rPr>
        <w:t xml:space="preserve">in </w:t>
      </w:r>
      <w:r w:rsidR="001A2A28" w:rsidRPr="001C0037">
        <w:rPr>
          <w:sz w:val="20"/>
          <w:szCs w:val="20"/>
        </w:rPr>
        <w:t xml:space="preserve">the </w:t>
      </w:r>
      <w:r w:rsidR="0087671C" w:rsidRPr="001C0037">
        <w:rPr>
          <w:sz w:val="20"/>
          <w:szCs w:val="20"/>
        </w:rPr>
        <w:t xml:space="preserve">relevant </w:t>
      </w:r>
      <w:r w:rsidR="001A2A28" w:rsidRPr="001C0037">
        <w:rPr>
          <w:sz w:val="20"/>
          <w:szCs w:val="20"/>
        </w:rPr>
        <w:t xml:space="preserve">media </w:t>
      </w:r>
      <w:r w:rsidRPr="001C0037">
        <w:rPr>
          <w:sz w:val="20"/>
          <w:szCs w:val="20"/>
        </w:rPr>
        <w:t xml:space="preserve">as </w:t>
      </w:r>
      <w:r w:rsidR="007B48CA" w:rsidRPr="001C0037">
        <w:rPr>
          <w:sz w:val="20"/>
          <w:szCs w:val="20"/>
        </w:rPr>
        <w:t>a particularly drastic and harsh measure</w:t>
      </w:r>
      <w:r w:rsidR="0087671C" w:rsidRPr="001C0037">
        <w:rPr>
          <w:sz w:val="20"/>
          <w:szCs w:val="20"/>
        </w:rPr>
        <w:t xml:space="preserve">, if </w:t>
      </w:r>
      <w:r w:rsidR="00D22463" w:rsidRPr="001C0037">
        <w:rPr>
          <w:sz w:val="20"/>
          <w:szCs w:val="20"/>
        </w:rPr>
        <w:t xml:space="preserve">not </w:t>
      </w:r>
      <w:r w:rsidR="0087671C" w:rsidRPr="001C0037">
        <w:rPr>
          <w:sz w:val="20"/>
          <w:szCs w:val="20"/>
        </w:rPr>
        <w:t xml:space="preserve">the harshest </w:t>
      </w:r>
      <w:r w:rsidR="00D22463" w:rsidRPr="001C0037">
        <w:rPr>
          <w:sz w:val="20"/>
          <w:szCs w:val="20"/>
        </w:rPr>
        <w:t>since February 2022</w:t>
      </w:r>
      <w:r w:rsidRPr="001C0037">
        <w:rPr>
          <w:sz w:val="20"/>
          <w:szCs w:val="20"/>
        </w:rPr>
        <w:t xml:space="preserve">. </w:t>
      </w:r>
      <w:r w:rsidR="002A54A5" w:rsidRPr="001C0037">
        <w:rPr>
          <w:sz w:val="20"/>
          <w:szCs w:val="20"/>
        </w:rPr>
        <w:t xml:space="preserve">Essentially, the aim </w:t>
      </w:r>
      <w:r w:rsidR="00F33E0E">
        <w:rPr>
          <w:sz w:val="20"/>
          <w:szCs w:val="20"/>
        </w:rPr>
        <w:t>will be</w:t>
      </w:r>
      <w:r w:rsidR="002A54A5" w:rsidRPr="001C0037">
        <w:rPr>
          <w:sz w:val="20"/>
          <w:szCs w:val="20"/>
        </w:rPr>
        <w:t xml:space="preserve"> to target two areas in particular: the Russian energy sector and the banking sector. </w:t>
      </w:r>
      <w:r w:rsidR="00DE41C4" w:rsidRPr="001C0037">
        <w:rPr>
          <w:sz w:val="20"/>
          <w:szCs w:val="20"/>
        </w:rPr>
        <w:t xml:space="preserve">The new EU sanctions package </w:t>
      </w:r>
      <w:r w:rsidR="00F33E0E">
        <w:rPr>
          <w:sz w:val="20"/>
          <w:szCs w:val="20"/>
        </w:rPr>
        <w:t xml:space="preserve">will </w:t>
      </w:r>
      <w:r w:rsidR="000A474F" w:rsidRPr="001C0037">
        <w:rPr>
          <w:sz w:val="20"/>
          <w:szCs w:val="20"/>
        </w:rPr>
        <w:t>provide for</w:t>
      </w:r>
      <w:r w:rsidR="00DE41C4" w:rsidRPr="001C0037">
        <w:rPr>
          <w:sz w:val="20"/>
          <w:szCs w:val="20"/>
        </w:rPr>
        <w:t xml:space="preserve"> </w:t>
      </w:r>
      <w:r w:rsidR="00BE425F" w:rsidRPr="001C0037">
        <w:rPr>
          <w:sz w:val="20"/>
          <w:szCs w:val="20"/>
        </w:rPr>
        <w:t xml:space="preserve">measures to prevent the recommissioning of </w:t>
      </w:r>
      <w:r w:rsidR="00DE41C4" w:rsidRPr="001C0037">
        <w:rPr>
          <w:sz w:val="20"/>
          <w:szCs w:val="20"/>
        </w:rPr>
        <w:t xml:space="preserve">Nord Stream 1 </w:t>
      </w:r>
      <w:r w:rsidR="000A474F" w:rsidRPr="001C0037">
        <w:rPr>
          <w:sz w:val="20"/>
          <w:szCs w:val="20"/>
        </w:rPr>
        <w:t>and 2</w:t>
      </w:r>
      <w:r w:rsidR="007E36EB" w:rsidRPr="001C0037">
        <w:rPr>
          <w:sz w:val="20"/>
          <w:szCs w:val="20"/>
        </w:rPr>
        <w:t>, as well as an import ban on Russian gas</w:t>
      </w:r>
      <w:r w:rsidR="000A474F" w:rsidRPr="001C0037">
        <w:rPr>
          <w:sz w:val="20"/>
          <w:szCs w:val="20"/>
        </w:rPr>
        <w:t xml:space="preserve">; </w:t>
      </w:r>
      <w:r w:rsidR="00823B55" w:rsidRPr="001C0037">
        <w:rPr>
          <w:sz w:val="20"/>
          <w:szCs w:val="20"/>
        </w:rPr>
        <w:t xml:space="preserve">the oil price cap </w:t>
      </w:r>
      <w:r w:rsidR="00F33E0E">
        <w:rPr>
          <w:sz w:val="20"/>
          <w:szCs w:val="20"/>
        </w:rPr>
        <w:t>will</w:t>
      </w:r>
      <w:r w:rsidR="00823B55" w:rsidRPr="001C0037">
        <w:rPr>
          <w:sz w:val="20"/>
          <w:szCs w:val="20"/>
        </w:rPr>
        <w:t xml:space="preserve"> be lowered; additional ships in the shadow fleet </w:t>
      </w:r>
      <w:r w:rsidR="001A2A28" w:rsidRPr="001C0037">
        <w:rPr>
          <w:sz w:val="20"/>
          <w:szCs w:val="20"/>
        </w:rPr>
        <w:t xml:space="preserve">will </w:t>
      </w:r>
      <w:r w:rsidR="00823B55" w:rsidRPr="001C0037">
        <w:rPr>
          <w:sz w:val="20"/>
          <w:szCs w:val="20"/>
        </w:rPr>
        <w:t>be listed; and an import ban on products refined from Russian crude oil will be imposed. Furthermore</w:t>
      </w:r>
      <w:r w:rsidR="000A474F" w:rsidRPr="001C0037">
        <w:rPr>
          <w:sz w:val="20"/>
          <w:szCs w:val="20"/>
        </w:rPr>
        <w:t xml:space="preserve">, </w:t>
      </w:r>
      <w:r w:rsidR="00DE41C4" w:rsidRPr="001C0037">
        <w:rPr>
          <w:sz w:val="20"/>
          <w:szCs w:val="20"/>
        </w:rPr>
        <w:t xml:space="preserve">banks involved in circumventing </w:t>
      </w:r>
      <w:r w:rsidR="000A474F" w:rsidRPr="001C0037">
        <w:rPr>
          <w:sz w:val="20"/>
          <w:szCs w:val="20"/>
        </w:rPr>
        <w:t xml:space="preserve">existing </w:t>
      </w:r>
      <w:r w:rsidR="00DE41C4" w:rsidRPr="001C0037">
        <w:rPr>
          <w:sz w:val="20"/>
          <w:szCs w:val="20"/>
        </w:rPr>
        <w:t xml:space="preserve">sanctions </w:t>
      </w:r>
      <w:r w:rsidR="00F33E0E">
        <w:rPr>
          <w:sz w:val="20"/>
          <w:szCs w:val="20"/>
        </w:rPr>
        <w:t>will</w:t>
      </w:r>
      <w:r w:rsidR="001A2A28" w:rsidRPr="001C0037">
        <w:rPr>
          <w:sz w:val="20"/>
          <w:szCs w:val="20"/>
        </w:rPr>
        <w:t xml:space="preserve"> </w:t>
      </w:r>
      <w:r w:rsidR="000A474F" w:rsidRPr="001C0037">
        <w:rPr>
          <w:sz w:val="20"/>
          <w:szCs w:val="20"/>
        </w:rPr>
        <w:t>be sanctioned</w:t>
      </w:r>
      <w:r w:rsidR="00DE41C4" w:rsidRPr="001C0037">
        <w:rPr>
          <w:sz w:val="20"/>
          <w:szCs w:val="20"/>
        </w:rPr>
        <w:t xml:space="preserve">; </w:t>
      </w:r>
      <w:r w:rsidR="00823B55" w:rsidRPr="001C0037">
        <w:rPr>
          <w:sz w:val="20"/>
          <w:szCs w:val="20"/>
        </w:rPr>
        <w:t xml:space="preserve">the ban on the use of the SWIFT system </w:t>
      </w:r>
      <w:r w:rsidR="00F33E0E">
        <w:rPr>
          <w:sz w:val="20"/>
          <w:szCs w:val="20"/>
        </w:rPr>
        <w:t>will</w:t>
      </w:r>
      <w:r w:rsidR="00823B55" w:rsidRPr="001C0037">
        <w:rPr>
          <w:sz w:val="20"/>
          <w:szCs w:val="20"/>
        </w:rPr>
        <w:t xml:space="preserve"> be extended to include additional Russian banks; and sanctions </w:t>
      </w:r>
      <w:r w:rsidR="00F33E0E">
        <w:rPr>
          <w:sz w:val="20"/>
          <w:szCs w:val="20"/>
        </w:rPr>
        <w:t>will</w:t>
      </w:r>
      <w:r w:rsidR="00823B55" w:rsidRPr="001C0037">
        <w:rPr>
          <w:sz w:val="20"/>
          <w:szCs w:val="20"/>
        </w:rPr>
        <w:t xml:space="preserve"> be imposed on the Russian Direct Investment Fund. </w:t>
      </w:r>
      <w:r w:rsidR="002C523D" w:rsidRPr="001C0037">
        <w:rPr>
          <w:sz w:val="20"/>
          <w:szCs w:val="20"/>
        </w:rPr>
        <w:t xml:space="preserve">Fearing </w:t>
      </w:r>
      <w:r w:rsidR="001C27CF" w:rsidRPr="001C0037">
        <w:rPr>
          <w:sz w:val="20"/>
          <w:szCs w:val="20"/>
        </w:rPr>
        <w:t>a complete halt to supplies of gas, oil, and nuclear fuel from Russia, Slovakia</w:t>
      </w:r>
      <w:r w:rsidR="00823B55" w:rsidRPr="001C0037">
        <w:rPr>
          <w:sz w:val="20"/>
          <w:szCs w:val="20"/>
        </w:rPr>
        <w:t xml:space="preserve"> then</w:t>
      </w:r>
      <w:r w:rsidR="00C803AD" w:rsidRPr="001C0037">
        <w:rPr>
          <w:sz w:val="20"/>
          <w:szCs w:val="20"/>
        </w:rPr>
        <w:t xml:space="preserve"> threatened </w:t>
      </w:r>
      <w:r w:rsidR="001C27CF" w:rsidRPr="001C0037">
        <w:rPr>
          <w:sz w:val="20"/>
          <w:szCs w:val="20"/>
        </w:rPr>
        <w:t>to veto the prepared sanctions package</w:t>
      </w:r>
      <w:r w:rsidR="00C803AD" w:rsidRPr="001C0037">
        <w:rPr>
          <w:sz w:val="20"/>
          <w:szCs w:val="20"/>
        </w:rPr>
        <w:t>, and Malta, Greece, and Cyprus also raised concerns, as they feared disadvantages for domestic shipping companies if the oil price cap were lowered too much.</w:t>
      </w:r>
    </w:p>
    <w:p w14:paraId="25DCE328" w14:textId="77777777" w:rsidR="00AB3C33" w:rsidRPr="001C0037" w:rsidRDefault="00AB3C33" w:rsidP="00E82C13">
      <w:pPr>
        <w:jc w:val="left"/>
        <w:rPr>
          <w:sz w:val="20"/>
          <w:szCs w:val="20"/>
        </w:rPr>
      </w:pPr>
    </w:p>
    <w:p w14:paraId="653461C6" w14:textId="0500421F" w:rsidR="00AB3C33" w:rsidRPr="001C0037" w:rsidRDefault="00294306" w:rsidP="00E82C13">
      <w:pPr>
        <w:jc w:val="left"/>
        <w:rPr>
          <w:sz w:val="20"/>
          <w:szCs w:val="20"/>
        </w:rPr>
      </w:pPr>
      <w:r w:rsidRPr="001C0037">
        <w:rPr>
          <w:sz w:val="20"/>
          <w:szCs w:val="20"/>
        </w:rPr>
        <w:t>In light of these announcements, trading and distribution companies may</w:t>
      </w:r>
      <w:r w:rsidR="00A7796B">
        <w:rPr>
          <w:sz w:val="20"/>
          <w:szCs w:val="20"/>
        </w:rPr>
        <w:t>be felt</w:t>
      </w:r>
      <w:r w:rsidRPr="001C0037">
        <w:rPr>
          <w:sz w:val="20"/>
          <w:szCs w:val="20"/>
        </w:rPr>
        <w:t xml:space="preserve"> that they will not be significantly affected by the 18th package of sanctions. However</w:t>
      </w:r>
      <w:r w:rsidR="00AB3C33" w:rsidRPr="001C0037">
        <w:rPr>
          <w:sz w:val="20"/>
          <w:szCs w:val="20"/>
        </w:rPr>
        <w:t xml:space="preserve">, the discussion surrounding the energy sector has overshadowed the fact that the EU </w:t>
      </w:r>
      <w:r w:rsidR="00A7796B">
        <w:rPr>
          <w:sz w:val="20"/>
          <w:szCs w:val="20"/>
        </w:rPr>
        <w:t>had</w:t>
      </w:r>
      <w:r w:rsidR="00AB3C33" w:rsidRPr="001C0037">
        <w:rPr>
          <w:sz w:val="20"/>
          <w:szCs w:val="20"/>
        </w:rPr>
        <w:t xml:space="preserve"> also </w:t>
      </w:r>
      <w:r w:rsidR="00260534">
        <w:rPr>
          <w:sz w:val="20"/>
          <w:szCs w:val="20"/>
        </w:rPr>
        <w:t>announced</w:t>
      </w:r>
      <w:r w:rsidR="00AB3C33" w:rsidRPr="001C0037">
        <w:rPr>
          <w:sz w:val="20"/>
          <w:szCs w:val="20"/>
        </w:rPr>
        <w:t xml:space="preserve"> </w:t>
      </w:r>
      <w:r w:rsidR="00AB3C33" w:rsidRPr="001C0037">
        <w:rPr>
          <w:sz w:val="20"/>
          <w:szCs w:val="20"/>
          <w:u w:val="single"/>
        </w:rPr>
        <w:t>further export bans</w:t>
      </w:r>
      <w:r w:rsidR="00AB3C33" w:rsidRPr="00A7796B">
        <w:rPr>
          <w:sz w:val="20"/>
          <w:szCs w:val="20"/>
        </w:rPr>
        <w:t xml:space="preserve"> </w:t>
      </w:r>
      <w:r w:rsidR="00AB3C33" w:rsidRPr="001C0037">
        <w:rPr>
          <w:sz w:val="20"/>
          <w:szCs w:val="20"/>
        </w:rPr>
        <w:t xml:space="preserve">on </w:t>
      </w:r>
      <w:r w:rsidR="002F6582" w:rsidRPr="001C0037">
        <w:rPr>
          <w:sz w:val="20"/>
          <w:szCs w:val="20"/>
        </w:rPr>
        <w:t xml:space="preserve">dual-use goods, </w:t>
      </w:r>
      <w:r w:rsidR="00AB3C33" w:rsidRPr="001C0037">
        <w:rPr>
          <w:sz w:val="20"/>
          <w:szCs w:val="20"/>
        </w:rPr>
        <w:t>critical technologies, and industrial goods, with a focus on machinery, metals, plastics, and chemicals worth more than €2.5 billion,</w:t>
      </w:r>
      <w:r w:rsidR="000A3698" w:rsidRPr="001C0037">
        <w:rPr>
          <w:sz w:val="20"/>
          <w:szCs w:val="20"/>
        </w:rPr>
        <w:t xml:space="preserve"> as well as supplementary measures to </w:t>
      </w:r>
      <w:r w:rsidR="001E369F" w:rsidRPr="001C0037">
        <w:rPr>
          <w:sz w:val="20"/>
          <w:szCs w:val="20"/>
        </w:rPr>
        <w:t xml:space="preserve">prevent </w:t>
      </w:r>
      <w:r w:rsidR="000A3698" w:rsidRPr="001C0037">
        <w:rPr>
          <w:sz w:val="20"/>
          <w:szCs w:val="20"/>
        </w:rPr>
        <w:t>the circumvention of sanctions</w:t>
      </w:r>
      <w:r w:rsidR="00AB3C33" w:rsidRPr="001C0037">
        <w:rPr>
          <w:sz w:val="20"/>
          <w:szCs w:val="20"/>
        </w:rPr>
        <w:t xml:space="preserve">, </w:t>
      </w:r>
      <w:r w:rsidR="000A3698" w:rsidRPr="001C0037">
        <w:rPr>
          <w:sz w:val="20"/>
          <w:szCs w:val="20"/>
        </w:rPr>
        <w:t xml:space="preserve">which were then actually implemented </w:t>
      </w:r>
      <w:r w:rsidR="001E369F" w:rsidRPr="001C0037">
        <w:rPr>
          <w:sz w:val="20"/>
          <w:szCs w:val="20"/>
        </w:rPr>
        <w:t>with the 18th sanctions package of July 18, 2025 (which came into force on July 20, 2025)</w:t>
      </w:r>
      <w:r w:rsidR="000A3698" w:rsidRPr="001C0037">
        <w:rPr>
          <w:sz w:val="20"/>
          <w:szCs w:val="20"/>
        </w:rPr>
        <w:t>.</w:t>
      </w:r>
    </w:p>
    <w:p w14:paraId="37EF4011" w14:textId="77777777" w:rsidR="002571E4" w:rsidRPr="001C0037" w:rsidRDefault="002571E4" w:rsidP="00E82C13">
      <w:pPr>
        <w:jc w:val="left"/>
        <w:rPr>
          <w:sz w:val="20"/>
          <w:szCs w:val="20"/>
        </w:rPr>
      </w:pPr>
    </w:p>
    <w:p w14:paraId="7D1830C8" w14:textId="24122FB3" w:rsidR="001E369F" w:rsidRPr="001C0037" w:rsidRDefault="001E369F" w:rsidP="00E82C13">
      <w:pPr>
        <w:jc w:val="left"/>
        <w:rPr>
          <w:b/>
          <w:bCs/>
          <w:sz w:val="20"/>
          <w:szCs w:val="20"/>
        </w:rPr>
      </w:pPr>
      <w:r w:rsidRPr="001C0037">
        <w:rPr>
          <w:b/>
          <w:bCs/>
          <w:sz w:val="20"/>
          <w:szCs w:val="20"/>
          <w:highlight w:val="lightGray"/>
          <w:u w:val="single"/>
        </w:rPr>
        <w:t>Russia</w:t>
      </w:r>
      <w:r w:rsidRPr="001C0037">
        <w:rPr>
          <w:b/>
          <w:bCs/>
          <w:sz w:val="20"/>
          <w:szCs w:val="20"/>
          <w:highlight w:val="lightGray"/>
        </w:rPr>
        <w:t>: Regulation (EU) No. 833/2014</w:t>
      </w:r>
    </w:p>
    <w:p w14:paraId="273431B5" w14:textId="77777777" w:rsidR="001E369F" w:rsidRPr="001C0037" w:rsidRDefault="001E369F" w:rsidP="00E82C13">
      <w:pPr>
        <w:jc w:val="left"/>
        <w:rPr>
          <w:sz w:val="20"/>
          <w:szCs w:val="20"/>
        </w:rPr>
      </w:pPr>
    </w:p>
    <w:p w14:paraId="3E2B5988" w14:textId="4EA28403" w:rsidR="00F766DD" w:rsidRPr="001C0037" w:rsidRDefault="00F766DD" w:rsidP="00E82C13">
      <w:pPr>
        <w:jc w:val="left"/>
        <w:rPr>
          <w:sz w:val="20"/>
          <w:szCs w:val="20"/>
        </w:rPr>
      </w:pPr>
      <w:r w:rsidRPr="001C0037">
        <w:rPr>
          <w:sz w:val="20"/>
          <w:szCs w:val="20"/>
        </w:rPr>
        <w:t>Amendments to Regulation (EU) No. 833/2014</w:t>
      </w:r>
      <w:r w:rsidR="00E65AC6" w:rsidRPr="001C0037">
        <w:rPr>
          <w:sz w:val="20"/>
          <w:szCs w:val="20"/>
        </w:rPr>
        <w:t xml:space="preserve">, and in particular to the goods-related measures, </w:t>
      </w:r>
      <w:r w:rsidRPr="001C0037">
        <w:rPr>
          <w:sz w:val="20"/>
          <w:szCs w:val="20"/>
        </w:rPr>
        <w:t xml:space="preserve">were made by </w:t>
      </w:r>
      <w:r w:rsidRPr="001C0037">
        <w:rPr>
          <w:b/>
          <w:bCs/>
          <w:sz w:val="20"/>
          <w:szCs w:val="20"/>
        </w:rPr>
        <w:t>Regulation (EU) 2025/1494 of July 18, 2025</w:t>
      </w:r>
      <w:r w:rsidRPr="001C0037">
        <w:rPr>
          <w:sz w:val="20"/>
          <w:szCs w:val="20"/>
        </w:rPr>
        <w:t xml:space="preserve">: </w:t>
      </w:r>
    </w:p>
    <w:p w14:paraId="495CD367" w14:textId="77777777" w:rsidR="00F766DD" w:rsidRPr="001C0037" w:rsidRDefault="00F766DD" w:rsidP="00E82C13">
      <w:pPr>
        <w:jc w:val="left"/>
        <w:rPr>
          <w:sz w:val="20"/>
          <w:szCs w:val="20"/>
        </w:rPr>
      </w:pPr>
    </w:p>
    <w:p w14:paraId="095CFF0F" w14:textId="31892A3C" w:rsidR="00F75CA3" w:rsidRPr="001C0037" w:rsidRDefault="00F75CA3" w:rsidP="00E82C13">
      <w:pPr>
        <w:jc w:val="left"/>
        <w:rPr>
          <w:b/>
          <w:bCs/>
          <w:i/>
          <w:iCs/>
          <w:color w:val="C00000"/>
          <w:sz w:val="20"/>
          <w:szCs w:val="20"/>
        </w:rPr>
      </w:pPr>
      <w:r w:rsidRPr="001C0037">
        <w:rPr>
          <w:b/>
          <w:bCs/>
          <w:i/>
          <w:iCs/>
          <w:color w:val="C00000"/>
          <w:sz w:val="20"/>
          <w:szCs w:val="20"/>
        </w:rPr>
        <w:t>Export bans</w:t>
      </w:r>
      <w:r w:rsidR="001678C4" w:rsidRPr="001C0037">
        <w:rPr>
          <w:b/>
          <w:bCs/>
          <w:i/>
          <w:iCs/>
          <w:color w:val="C00000"/>
          <w:sz w:val="20"/>
          <w:szCs w:val="20"/>
        </w:rPr>
        <w:t>: Amendment to goods lists</w:t>
      </w:r>
    </w:p>
    <w:p w14:paraId="68E30D03" w14:textId="77777777" w:rsidR="00F75CA3" w:rsidRPr="001C0037" w:rsidRDefault="00F75CA3" w:rsidP="00E82C13">
      <w:pPr>
        <w:jc w:val="left"/>
        <w:rPr>
          <w:sz w:val="20"/>
          <w:szCs w:val="20"/>
        </w:rPr>
      </w:pPr>
    </w:p>
    <w:p w14:paraId="7828E93C" w14:textId="77777777" w:rsidR="001C6876" w:rsidRPr="001C0037" w:rsidRDefault="00903847" w:rsidP="00451782">
      <w:pPr>
        <w:jc w:val="left"/>
        <w:rPr>
          <w:sz w:val="20"/>
          <w:szCs w:val="20"/>
        </w:rPr>
      </w:pPr>
      <w:r w:rsidRPr="001C0037">
        <w:rPr>
          <w:sz w:val="20"/>
          <w:szCs w:val="20"/>
        </w:rPr>
        <w:t xml:space="preserve">Article 2a(1) and Article 3k(1) of Regulation (EU) No 833/2014 prohibit the sale, export, supply, or other transfer </w:t>
      </w:r>
      <w:r w:rsidR="00EE57B6" w:rsidRPr="001C0037">
        <w:rPr>
          <w:sz w:val="20"/>
          <w:szCs w:val="20"/>
        </w:rPr>
        <w:t>of the goods and technology listed in Annex VII and Annex XXIII</w:t>
      </w:r>
      <w:r w:rsidRPr="001C0037">
        <w:rPr>
          <w:sz w:val="20"/>
          <w:szCs w:val="20"/>
        </w:rPr>
        <w:t>, respectively, directly or indirectly, to natural or legal persons, organizations, or entities in Russia or for use in Russia</w:t>
      </w:r>
      <w:r w:rsidR="00EE57B6" w:rsidRPr="001C0037">
        <w:rPr>
          <w:sz w:val="20"/>
          <w:szCs w:val="20"/>
        </w:rPr>
        <w:t xml:space="preserve">. Both annexes have </w:t>
      </w:r>
      <w:r w:rsidR="00DC66AF" w:rsidRPr="001C0037">
        <w:rPr>
          <w:sz w:val="20"/>
          <w:szCs w:val="20"/>
        </w:rPr>
        <w:t xml:space="preserve">now </w:t>
      </w:r>
      <w:r w:rsidR="00EE57B6" w:rsidRPr="001C0037">
        <w:rPr>
          <w:sz w:val="20"/>
          <w:szCs w:val="20"/>
        </w:rPr>
        <w:t>been expanded</w:t>
      </w:r>
      <w:r w:rsidR="00DC66AF" w:rsidRPr="001C0037">
        <w:rPr>
          <w:sz w:val="20"/>
          <w:szCs w:val="20"/>
        </w:rPr>
        <w:t xml:space="preserve"> again</w:t>
      </w:r>
      <w:r w:rsidR="00EE57B6" w:rsidRPr="001C0037">
        <w:rPr>
          <w:sz w:val="20"/>
          <w:szCs w:val="20"/>
        </w:rPr>
        <w:t xml:space="preserve">. </w:t>
      </w:r>
      <w:r w:rsidR="004F6FA1" w:rsidRPr="001C0037">
        <w:rPr>
          <w:sz w:val="20"/>
          <w:szCs w:val="20"/>
        </w:rPr>
        <w:t xml:space="preserve">In </w:t>
      </w:r>
      <w:r w:rsidR="004F6FA1" w:rsidRPr="001C0037">
        <w:rPr>
          <w:sz w:val="20"/>
          <w:szCs w:val="20"/>
          <w:u w:val="single"/>
        </w:rPr>
        <w:t>Annex VII</w:t>
      </w:r>
      <w:r w:rsidR="004F6FA1" w:rsidRPr="001C0037">
        <w:rPr>
          <w:sz w:val="20"/>
          <w:szCs w:val="20"/>
        </w:rPr>
        <w:t xml:space="preserve">, Part A, Category VIII, a new section X.C.VIII.005 has been added, which contains various chemical components for fuels. In Part B, Table 5 "Machine tools, equipment for additive manufacturing and related goods" has been revised </w:t>
      </w:r>
      <w:r w:rsidR="00451782" w:rsidRPr="001C0037">
        <w:rPr>
          <w:sz w:val="20"/>
          <w:szCs w:val="20"/>
        </w:rPr>
        <w:t xml:space="preserve">and supplemented with </w:t>
      </w:r>
      <w:r w:rsidR="000A564A" w:rsidRPr="001C0037">
        <w:rPr>
          <w:sz w:val="20"/>
          <w:szCs w:val="20"/>
        </w:rPr>
        <w:t xml:space="preserve">goods falling under </w:t>
      </w:r>
      <w:r w:rsidR="00451782" w:rsidRPr="001C0037">
        <w:rPr>
          <w:sz w:val="20"/>
          <w:szCs w:val="20"/>
        </w:rPr>
        <w:t xml:space="preserve">CN codes 8456 30 and 8456 50. </w:t>
      </w:r>
      <w:r w:rsidR="005B1754" w:rsidRPr="001C0037">
        <w:rPr>
          <w:sz w:val="20"/>
          <w:szCs w:val="20"/>
        </w:rPr>
        <w:t xml:space="preserve">No exceptions are provided for contracts that have already been concluded. </w:t>
      </w:r>
    </w:p>
    <w:p w14:paraId="18131210" w14:textId="77777777" w:rsidR="001C6876" w:rsidRPr="001C0037" w:rsidRDefault="001C6876" w:rsidP="00451782">
      <w:pPr>
        <w:jc w:val="left"/>
        <w:rPr>
          <w:sz w:val="20"/>
          <w:szCs w:val="20"/>
        </w:rPr>
      </w:pPr>
    </w:p>
    <w:p w14:paraId="02A9884B" w14:textId="6FAFE196" w:rsidR="00903847" w:rsidRPr="001C0037" w:rsidRDefault="00451782" w:rsidP="00451782">
      <w:pPr>
        <w:jc w:val="left"/>
        <w:rPr>
          <w:sz w:val="20"/>
          <w:szCs w:val="20"/>
        </w:rPr>
      </w:pPr>
      <w:r w:rsidRPr="001C0037">
        <w:rPr>
          <w:sz w:val="20"/>
          <w:szCs w:val="20"/>
          <w:u w:val="single"/>
        </w:rPr>
        <w:t>Annex XXIII</w:t>
      </w:r>
      <w:r w:rsidRPr="00076959">
        <w:rPr>
          <w:sz w:val="20"/>
          <w:szCs w:val="20"/>
        </w:rPr>
        <w:t xml:space="preserve"> </w:t>
      </w:r>
      <w:r w:rsidRPr="001C0037">
        <w:rPr>
          <w:sz w:val="20"/>
          <w:szCs w:val="20"/>
        </w:rPr>
        <w:t xml:space="preserve">has been </w:t>
      </w:r>
      <w:r w:rsidR="005B1754" w:rsidRPr="001C0037">
        <w:rPr>
          <w:sz w:val="20"/>
          <w:szCs w:val="20"/>
        </w:rPr>
        <w:t xml:space="preserve">completely </w:t>
      </w:r>
      <w:r w:rsidRPr="001C0037">
        <w:rPr>
          <w:sz w:val="20"/>
          <w:szCs w:val="20"/>
        </w:rPr>
        <w:t>revised</w:t>
      </w:r>
      <w:r w:rsidR="005B1754" w:rsidRPr="001C0037">
        <w:rPr>
          <w:sz w:val="20"/>
          <w:szCs w:val="20"/>
        </w:rPr>
        <w:t xml:space="preserve">. The newly added goods are listed in the </w:t>
      </w:r>
      <w:r w:rsidR="00076959">
        <w:rPr>
          <w:sz w:val="20"/>
          <w:szCs w:val="20"/>
        </w:rPr>
        <w:t>new</w:t>
      </w:r>
      <w:r w:rsidR="005B1754" w:rsidRPr="001C0037">
        <w:rPr>
          <w:sz w:val="20"/>
          <w:szCs w:val="20"/>
        </w:rPr>
        <w:t xml:space="preserve"> Annexes XXIIIE and XXIIIF</w:t>
      </w:r>
      <w:r w:rsidR="00D82E13" w:rsidRPr="001C0037">
        <w:rPr>
          <w:sz w:val="20"/>
          <w:szCs w:val="20"/>
        </w:rPr>
        <w:t xml:space="preserve">. In accordance with </w:t>
      </w:r>
      <w:r w:rsidR="00893EB2">
        <w:rPr>
          <w:sz w:val="20"/>
          <w:szCs w:val="20"/>
        </w:rPr>
        <w:t>Article</w:t>
      </w:r>
      <w:r w:rsidR="00D82E13" w:rsidRPr="001C0037">
        <w:rPr>
          <w:sz w:val="20"/>
          <w:szCs w:val="20"/>
        </w:rPr>
        <w:t xml:space="preserve"> 3k(3ah) and (3ai), these </w:t>
      </w:r>
      <w:r w:rsidR="00076959">
        <w:rPr>
          <w:sz w:val="20"/>
          <w:szCs w:val="20"/>
        </w:rPr>
        <w:t xml:space="preserve">new </w:t>
      </w:r>
      <w:r w:rsidR="00D82E13" w:rsidRPr="001C0037">
        <w:rPr>
          <w:sz w:val="20"/>
          <w:szCs w:val="20"/>
        </w:rPr>
        <w:t xml:space="preserve">goods are subject to temporary </w:t>
      </w:r>
      <w:r w:rsidR="00076959">
        <w:rPr>
          <w:sz w:val="20"/>
          <w:szCs w:val="20"/>
        </w:rPr>
        <w:t>exceptions</w:t>
      </w:r>
      <w:r w:rsidR="00656CA9" w:rsidRPr="001C0037">
        <w:rPr>
          <w:sz w:val="20"/>
          <w:szCs w:val="20"/>
        </w:rPr>
        <w:t xml:space="preserve"> </w:t>
      </w:r>
      <w:r w:rsidR="00356F06" w:rsidRPr="001C0037">
        <w:rPr>
          <w:sz w:val="20"/>
          <w:szCs w:val="20"/>
        </w:rPr>
        <w:t xml:space="preserve">for contracts concluded before July 20, 2025, </w:t>
      </w:r>
      <w:r w:rsidR="00D82E13" w:rsidRPr="001C0037">
        <w:rPr>
          <w:sz w:val="20"/>
          <w:szCs w:val="20"/>
        </w:rPr>
        <w:t xml:space="preserve">until October 21 </w:t>
      </w:r>
      <w:r w:rsidR="00076959">
        <w:rPr>
          <w:sz w:val="20"/>
          <w:szCs w:val="20"/>
        </w:rPr>
        <w:t>and</w:t>
      </w:r>
      <w:r w:rsidR="00D82E13" w:rsidRPr="001C0037">
        <w:rPr>
          <w:sz w:val="20"/>
          <w:szCs w:val="20"/>
        </w:rPr>
        <w:t xml:space="preserve"> January 21, 2026. </w:t>
      </w:r>
      <w:r w:rsidR="00E51049" w:rsidRPr="001C0037">
        <w:rPr>
          <w:sz w:val="20"/>
          <w:szCs w:val="20"/>
        </w:rPr>
        <w:t>For goods falling under CN code 3402 90</w:t>
      </w:r>
      <w:r w:rsidR="00356F06" w:rsidRPr="001C0037">
        <w:rPr>
          <w:sz w:val="20"/>
          <w:szCs w:val="20"/>
        </w:rPr>
        <w:t xml:space="preserve">, </w:t>
      </w:r>
      <w:r w:rsidR="00E51049" w:rsidRPr="001C0037">
        <w:rPr>
          <w:sz w:val="20"/>
          <w:szCs w:val="20"/>
        </w:rPr>
        <w:t xml:space="preserve">an </w:t>
      </w:r>
      <w:r w:rsidR="00356F06" w:rsidRPr="001C0037">
        <w:rPr>
          <w:sz w:val="20"/>
          <w:szCs w:val="20"/>
        </w:rPr>
        <w:t xml:space="preserve">authorization may </w:t>
      </w:r>
      <w:r w:rsidR="003F1C6F" w:rsidRPr="001C0037">
        <w:rPr>
          <w:sz w:val="20"/>
          <w:szCs w:val="20"/>
        </w:rPr>
        <w:t xml:space="preserve">also </w:t>
      </w:r>
      <w:r w:rsidR="00356F06" w:rsidRPr="001C0037">
        <w:rPr>
          <w:sz w:val="20"/>
          <w:szCs w:val="20"/>
        </w:rPr>
        <w:t xml:space="preserve">be granted </w:t>
      </w:r>
      <w:r w:rsidR="00E51049" w:rsidRPr="001C0037">
        <w:rPr>
          <w:sz w:val="20"/>
          <w:szCs w:val="20"/>
        </w:rPr>
        <w:t xml:space="preserve">in accordance with </w:t>
      </w:r>
      <w:r w:rsidR="00893EB2">
        <w:rPr>
          <w:sz w:val="20"/>
          <w:szCs w:val="20"/>
        </w:rPr>
        <w:t>Article</w:t>
      </w:r>
      <w:r w:rsidR="00E51049" w:rsidRPr="001C0037">
        <w:rPr>
          <w:sz w:val="20"/>
          <w:szCs w:val="20"/>
        </w:rPr>
        <w:t xml:space="preserve"> 3k(5i) </w:t>
      </w:r>
      <w:r w:rsidR="003F1C6F" w:rsidRPr="001C0037">
        <w:rPr>
          <w:sz w:val="20"/>
          <w:szCs w:val="20"/>
        </w:rPr>
        <w:t xml:space="preserve">if the goods are necessary for the fulfillment of contracts concluded before January 1, 2025. </w:t>
      </w:r>
      <w:r w:rsidR="001C6876" w:rsidRPr="001C0037">
        <w:rPr>
          <w:sz w:val="20"/>
          <w:szCs w:val="20"/>
        </w:rPr>
        <w:t>Furthermore</w:t>
      </w:r>
      <w:r w:rsidR="00B51299" w:rsidRPr="001C0037">
        <w:rPr>
          <w:sz w:val="20"/>
          <w:szCs w:val="20"/>
        </w:rPr>
        <w:t>,</w:t>
      </w:r>
      <w:r w:rsidR="001C6876" w:rsidRPr="001C0037">
        <w:rPr>
          <w:sz w:val="20"/>
          <w:szCs w:val="20"/>
        </w:rPr>
        <w:t xml:space="preserve"> pursuant to </w:t>
      </w:r>
      <w:r w:rsidR="00893EB2">
        <w:rPr>
          <w:sz w:val="20"/>
          <w:szCs w:val="20"/>
        </w:rPr>
        <w:t>Article</w:t>
      </w:r>
      <w:r w:rsidR="001C6876" w:rsidRPr="001C0037">
        <w:rPr>
          <w:sz w:val="20"/>
          <w:szCs w:val="20"/>
        </w:rPr>
        <w:t xml:space="preserve"> 3k(5h)</w:t>
      </w:r>
      <w:r w:rsidR="00B51299" w:rsidRPr="001C0037">
        <w:rPr>
          <w:sz w:val="20"/>
          <w:szCs w:val="20"/>
        </w:rPr>
        <w:t xml:space="preserve">, an authorization </w:t>
      </w:r>
      <w:r w:rsidR="001C6876" w:rsidRPr="001C0037">
        <w:rPr>
          <w:sz w:val="20"/>
          <w:szCs w:val="20"/>
        </w:rPr>
        <w:t xml:space="preserve">may </w:t>
      </w:r>
      <w:r w:rsidR="00B51299" w:rsidRPr="001C0037">
        <w:rPr>
          <w:sz w:val="20"/>
          <w:szCs w:val="20"/>
        </w:rPr>
        <w:t xml:space="preserve">be granted </w:t>
      </w:r>
      <w:r w:rsidR="001C6876" w:rsidRPr="001C0037">
        <w:rPr>
          <w:sz w:val="20"/>
          <w:szCs w:val="20"/>
        </w:rPr>
        <w:t xml:space="preserve">in respect of goods falling under CN code 8422 30 </w:t>
      </w:r>
      <w:r w:rsidR="009C7F23" w:rsidRPr="001C0037">
        <w:rPr>
          <w:sz w:val="20"/>
          <w:szCs w:val="20"/>
        </w:rPr>
        <w:t>if the goods are necessary for the packaging of food, beverages, and pharmaceuticals.</w:t>
      </w:r>
    </w:p>
    <w:p w14:paraId="5794B562" w14:textId="77777777" w:rsidR="000A564A" w:rsidRPr="001C0037" w:rsidRDefault="000A564A" w:rsidP="00451782">
      <w:pPr>
        <w:jc w:val="left"/>
        <w:rPr>
          <w:sz w:val="20"/>
          <w:szCs w:val="20"/>
        </w:rPr>
      </w:pPr>
    </w:p>
    <w:p w14:paraId="6A169D48" w14:textId="275E5876" w:rsidR="001A2DCC" w:rsidRPr="001C0037" w:rsidRDefault="008266DD" w:rsidP="001A2DCC">
      <w:pPr>
        <w:jc w:val="left"/>
        <w:rPr>
          <w:sz w:val="20"/>
          <w:szCs w:val="20"/>
        </w:rPr>
      </w:pPr>
      <w:r w:rsidRPr="001C0037">
        <w:rPr>
          <w:sz w:val="20"/>
          <w:szCs w:val="20"/>
        </w:rPr>
        <w:t>Article 3k(1a</w:t>
      </w:r>
      <w:r w:rsidR="00514758" w:rsidRPr="001C0037">
        <w:rPr>
          <w:sz w:val="20"/>
          <w:szCs w:val="20"/>
        </w:rPr>
        <w:t>)</w:t>
      </w:r>
      <w:r w:rsidRPr="001C0037">
        <w:rPr>
          <w:sz w:val="20"/>
          <w:szCs w:val="20"/>
        </w:rPr>
        <w:t xml:space="preserve"> of </w:t>
      </w:r>
      <w:r w:rsidR="00514758" w:rsidRPr="001C0037">
        <w:rPr>
          <w:sz w:val="20"/>
          <w:szCs w:val="20"/>
        </w:rPr>
        <w:t xml:space="preserve">Regulation (EU) No. 833/2014 </w:t>
      </w:r>
      <w:r w:rsidRPr="001C0037">
        <w:rPr>
          <w:sz w:val="20"/>
          <w:szCs w:val="20"/>
        </w:rPr>
        <w:t xml:space="preserve">prohibits the transit through Russian territory of goods and technologies listed in </w:t>
      </w:r>
      <w:r w:rsidRPr="001C0037">
        <w:rPr>
          <w:sz w:val="20"/>
          <w:szCs w:val="20"/>
          <w:u w:val="single"/>
        </w:rPr>
        <w:t>Annex XXXVII</w:t>
      </w:r>
      <w:r w:rsidRPr="00076959">
        <w:rPr>
          <w:sz w:val="20"/>
          <w:szCs w:val="20"/>
        </w:rPr>
        <w:t xml:space="preserve"> </w:t>
      </w:r>
      <w:r w:rsidRPr="001C0037">
        <w:rPr>
          <w:sz w:val="20"/>
          <w:szCs w:val="20"/>
        </w:rPr>
        <w:t xml:space="preserve">that are exported from the Union. This </w:t>
      </w:r>
      <w:r w:rsidR="00B341A9" w:rsidRPr="001C0037">
        <w:rPr>
          <w:sz w:val="20"/>
          <w:szCs w:val="20"/>
        </w:rPr>
        <w:t xml:space="preserve">annex has </w:t>
      </w:r>
      <w:r w:rsidRPr="001C0037">
        <w:rPr>
          <w:sz w:val="20"/>
          <w:szCs w:val="20"/>
        </w:rPr>
        <w:t xml:space="preserve">also </w:t>
      </w:r>
      <w:r w:rsidR="00B341A9" w:rsidRPr="001C0037">
        <w:rPr>
          <w:sz w:val="20"/>
          <w:szCs w:val="20"/>
        </w:rPr>
        <w:t xml:space="preserve">been revised. </w:t>
      </w:r>
      <w:r w:rsidR="003F74C4" w:rsidRPr="001C0037">
        <w:rPr>
          <w:sz w:val="20"/>
          <w:szCs w:val="20"/>
        </w:rPr>
        <w:t>New additions include goods falling under CN codes</w:t>
      </w:r>
      <w:r w:rsidR="00F4638C" w:rsidRPr="001C0037">
        <w:rPr>
          <w:sz w:val="20"/>
          <w:szCs w:val="20"/>
        </w:rPr>
        <w:t xml:space="preserve"> 7308 90, 8419 50, 8419 89, 8419 90,</w:t>
      </w:r>
      <w:r w:rsidR="001A2DCC" w:rsidRPr="001C0037">
        <w:rPr>
          <w:sz w:val="20"/>
          <w:szCs w:val="20"/>
        </w:rPr>
        <w:t xml:space="preserve"> 8479 82, 8701 21, 8716 39</w:t>
      </w:r>
      <w:r w:rsidR="003F74C4" w:rsidRPr="001C0037">
        <w:rPr>
          <w:sz w:val="20"/>
          <w:szCs w:val="20"/>
        </w:rPr>
        <w:t>, and</w:t>
      </w:r>
      <w:r w:rsidR="001A2DCC" w:rsidRPr="001C0037">
        <w:rPr>
          <w:sz w:val="20"/>
          <w:szCs w:val="20"/>
        </w:rPr>
        <w:t xml:space="preserve"> 8716 90.</w:t>
      </w:r>
    </w:p>
    <w:p w14:paraId="16DBF658" w14:textId="77777777" w:rsidR="001A2DCC" w:rsidRPr="001C0037" w:rsidRDefault="001A2DCC" w:rsidP="00E82C13">
      <w:pPr>
        <w:jc w:val="left"/>
        <w:rPr>
          <w:sz w:val="20"/>
          <w:szCs w:val="20"/>
        </w:rPr>
      </w:pPr>
    </w:p>
    <w:p w14:paraId="104176E6" w14:textId="47DB4DA6" w:rsidR="0031094C" w:rsidRPr="001C0037" w:rsidRDefault="0031094C" w:rsidP="0031094C">
      <w:pPr>
        <w:jc w:val="left"/>
        <w:rPr>
          <w:b/>
          <w:bCs/>
          <w:i/>
          <w:iCs/>
          <w:color w:val="C00000"/>
          <w:sz w:val="20"/>
          <w:szCs w:val="20"/>
        </w:rPr>
      </w:pPr>
      <w:r w:rsidRPr="001C0037">
        <w:rPr>
          <w:b/>
          <w:bCs/>
          <w:i/>
          <w:iCs/>
          <w:color w:val="C00000"/>
          <w:sz w:val="20"/>
          <w:szCs w:val="20"/>
        </w:rPr>
        <w:t>Export bans: Other</w:t>
      </w:r>
    </w:p>
    <w:p w14:paraId="0B6CAA19" w14:textId="77777777" w:rsidR="0031094C" w:rsidRPr="001C0037" w:rsidRDefault="0031094C" w:rsidP="00E82C13">
      <w:pPr>
        <w:jc w:val="left"/>
        <w:rPr>
          <w:sz w:val="20"/>
          <w:szCs w:val="20"/>
        </w:rPr>
      </w:pPr>
    </w:p>
    <w:p w14:paraId="7B7D5B81" w14:textId="298CBEEB" w:rsidR="00D9426F" w:rsidRPr="001C0037" w:rsidRDefault="00507D7F" w:rsidP="00D9426F">
      <w:pPr>
        <w:jc w:val="left"/>
        <w:rPr>
          <w:sz w:val="20"/>
          <w:szCs w:val="20"/>
        </w:rPr>
      </w:pPr>
      <w:r w:rsidRPr="001C0037">
        <w:rPr>
          <w:sz w:val="20"/>
          <w:szCs w:val="20"/>
        </w:rPr>
        <w:t xml:space="preserve">Recital </w:t>
      </w:r>
      <w:r w:rsidR="00D9426F" w:rsidRPr="001C0037">
        <w:rPr>
          <w:sz w:val="20"/>
          <w:szCs w:val="20"/>
        </w:rPr>
        <w:t xml:space="preserve">(7) </w:t>
      </w:r>
      <w:r w:rsidRPr="001C0037">
        <w:rPr>
          <w:sz w:val="20"/>
          <w:szCs w:val="20"/>
        </w:rPr>
        <w:t xml:space="preserve">of Regulation (EU) 2025/1494 of July 18, 2025 clarifies that the prohibition on </w:t>
      </w:r>
      <w:r w:rsidRPr="001C0037">
        <w:rPr>
          <w:i/>
          <w:iCs/>
          <w:sz w:val="20"/>
          <w:szCs w:val="20"/>
        </w:rPr>
        <w:t xml:space="preserve">indirect </w:t>
      </w:r>
      <w:r w:rsidRPr="001C0037">
        <w:rPr>
          <w:sz w:val="20"/>
          <w:szCs w:val="20"/>
        </w:rPr>
        <w:t xml:space="preserve">exports </w:t>
      </w:r>
      <w:r w:rsidR="00BA1B55" w:rsidRPr="001C0037">
        <w:rPr>
          <w:sz w:val="20"/>
          <w:szCs w:val="20"/>
        </w:rPr>
        <w:t>specifically and in particular also covers deliveries via third countries</w:t>
      </w:r>
      <w:r w:rsidR="003846FE" w:rsidRPr="001C0037">
        <w:rPr>
          <w:sz w:val="20"/>
          <w:szCs w:val="20"/>
        </w:rPr>
        <w:t xml:space="preserve">. In order to counteract circumvention of the embargo measures </w:t>
      </w:r>
      <w:r w:rsidR="002A7E9A" w:rsidRPr="001C0037">
        <w:rPr>
          <w:sz w:val="20"/>
          <w:szCs w:val="20"/>
        </w:rPr>
        <w:t>in such cases</w:t>
      </w:r>
      <w:r w:rsidR="003846FE" w:rsidRPr="001C0037">
        <w:rPr>
          <w:sz w:val="20"/>
          <w:szCs w:val="20"/>
        </w:rPr>
        <w:t xml:space="preserve">, </w:t>
      </w:r>
      <w:r w:rsidR="002A7E9A" w:rsidRPr="001C0037">
        <w:rPr>
          <w:sz w:val="20"/>
          <w:szCs w:val="20"/>
        </w:rPr>
        <w:t xml:space="preserve">a "catch-all mechanism" already known from the </w:t>
      </w:r>
      <w:r w:rsidR="006E5FD5" w:rsidRPr="001C0037">
        <w:rPr>
          <w:sz w:val="20"/>
          <w:szCs w:val="20"/>
        </w:rPr>
        <w:t>Dual-Use Regulation</w:t>
      </w:r>
      <w:r w:rsidR="002A7E9A" w:rsidRPr="001C0037">
        <w:rPr>
          <w:sz w:val="20"/>
          <w:szCs w:val="20"/>
        </w:rPr>
        <w:t xml:space="preserve"> has been introduced </w:t>
      </w:r>
      <w:r w:rsidR="00EF423F" w:rsidRPr="001C0037">
        <w:rPr>
          <w:sz w:val="20"/>
          <w:szCs w:val="20"/>
        </w:rPr>
        <w:t xml:space="preserve">(new </w:t>
      </w:r>
      <w:r w:rsidR="00893EB2">
        <w:rPr>
          <w:sz w:val="20"/>
          <w:szCs w:val="20"/>
        </w:rPr>
        <w:t>Article</w:t>
      </w:r>
      <w:r w:rsidR="00EF423F" w:rsidRPr="001C0037">
        <w:rPr>
          <w:sz w:val="20"/>
          <w:szCs w:val="20"/>
        </w:rPr>
        <w:t xml:space="preserve"> 2a(1aa) </w:t>
      </w:r>
      <w:r w:rsidR="00514758" w:rsidRPr="001C0037">
        <w:rPr>
          <w:sz w:val="20"/>
          <w:szCs w:val="20"/>
        </w:rPr>
        <w:t>of Regulation (EU) No. 833/2014)</w:t>
      </w:r>
      <w:r w:rsidR="002A7E9A" w:rsidRPr="001C0037">
        <w:rPr>
          <w:sz w:val="20"/>
          <w:szCs w:val="20"/>
        </w:rPr>
        <w:t>, initially only in relation to the goods listed in Annex VII</w:t>
      </w:r>
      <w:r w:rsidR="00EF423F" w:rsidRPr="001C0037">
        <w:rPr>
          <w:sz w:val="20"/>
          <w:szCs w:val="20"/>
        </w:rPr>
        <w:t xml:space="preserve">: </w:t>
      </w:r>
      <w:r w:rsidR="006E5FD5" w:rsidRPr="001C0037">
        <w:rPr>
          <w:sz w:val="20"/>
          <w:szCs w:val="20"/>
        </w:rPr>
        <w:t>With immediate effect</w:t>
      </w:r>
      <w:r w:rsidR="00D63365" w:rsidRPr="001C0037">
        <w:rPr>
          <w:sz w:val="20"/>
          <w:szCs w:val="20"/>
        </w:rPr>
        <w:t xml:space="preserve">, the export of goods and technologies listed in Annex VII to third countries other than Russia requires an </w:t>
      </w:r>
      <w:proofErr w:type="spellStart"/>
      <w:r w:rsidR="00D63365" w:rsidRPr="001C0037">
        <w:rPr>
          <w:sz w:val="20"/>
          <w:szCs w:val="20"/>
        </w:rPr>
        <w:t>authorisation</w:t>
      </w:r>
      <w:proofErr w:type="spellEnd"/>
      <w:r w:rsidR="00D63365" w:rsidRPr="001C0037">
        <w:rPr>
          <w:sz w:val="20"/>
          <w:szCs w:val="20"/>
        </w:rPr>
        <w:t xml:space="preserve"> if the exporter has been</w:t>
      </w:r>
      <w:r w:rsidR="00D63365" w:rsidRPr="001C0037">
        <w:rPr>
          <w:sz w:val="20"/>
          <w:szCs w:val="20"/>
          <w:u w:val="single"/>
        </w:rPr>
        <w:t xml:space="preserve"> informed</w:t>
      </w:r>
      <w:r w:rsidR="00D63365" w:rsidRPr="001C0037">
        <w:rPr>
          <w:sz w:val="20"/>
          <w:szCs w:val="20"/>
        </w:rPr>
        <w:t xml:space="preserve"> by the competent authority that the goods and technologies are or may be intended, in whole or in part, for natural or legal persons, </w:t>
      </w:r>
      <w:proofErr w:type="spellStart"/>
      <w:r w:rsidR="00D63365" w:rsidRPr="001C0037">
        <w:rPr>
          <w:sz w:val="20"/>
          <w:szCs w:val="20"/>
        </w:rPr>
        <w:t>organisations</w:t>
      </w:r>
      <w:proofErr w:type="spellEnd"/>
      <w:r w:rsidR="00D63365" w:rsidRPr="001C0037">
        <w:rPr>
          <w:sz w:val="20"/>
          <w:szCs w:val="20"/>
        </w:rPr>
        <w:t xml:space="preserve"> or institutions in Russia or for use in Russia. </w:t>
      </w:r>
      <w:r w:rsidR="007B7180" w:rsidRPr="001C0037">
        <w:rPr>
          <w:sz w:val="20"/>
          <w:szCs w:val="20"/>
        </w:rPr>
        <w:t xml:space="preserve">Unlike in </w:t>
      </w:r>
      <w:r w:rsidR="00893EB2">
        <w:rPr>
          <w:sz w:val="20"/>
          <w:szCs w:val="20"/>
        </w:rPr>
        <w:t>Article</w:t>
      </w:r>
      <w:r w:rsidR="007B7180" w:rsidRPr="001C0037">
        <w:rPr>
          <w:sz w:val="20"/>
          <w:szCs w:val="20"/>
        </w:rPr>
        <w:t xml:space="preserve"> 4(2) of the Dual-Use Regulation, however, no obligation has been included for the exporter to inform the authority if he has otherwise become aware of end use in Russia. </w:t>
      </w:r>
      <w:r w:rsidR="00CD4668" w:rsidRPr="001C0037">
        <w:rPr>
          <w:sz w:val="20"/>
          <w:szCs w:val="20"/>
        </w:rPr>
        <w:t>Such a provision is</w:t>
      </w:r>
      <w:r w:rsidR="0054380B">
        <w:rPr>
          <w:sz w:val="20"/>
          <w:szCs w:val="20"/>
        </w:rPr>
        <w:t>, however,</w:t>
      </w:r>
      <w:r w:rsidR="00CD4668" w:rsidRPr="001C0037">
        <w:rPr>
          <w:sz w:val="20"/>
          <w:szCs w:val="20"/>
        </w:rPr>
        <w:t xml:space="preserve"> not necessary because, on the one hand, it has been clarified </w:t>
      </w:r>
      <w:r w:rsidR="00DA6A89" w:rsidRPr="001C0037">
        <w:rPr>
          <w:sz w:val="20"/>
          <w:szCs w:val="20"/>
        </w:rPr>
        <w:t xml:space="preserve">that the prohibition on indirect exports </w:t>
      </w:r>
      <w:r w:rsidR="00CD4668" w:rsidRPr="001C0037">
        <w:rPr>
          <w:sz w:val="20"/>
          <w:szCs w:val="20"/>
        </w:rPr>
        <w:t xml:space="preserve">remains unaffected, </w:t>
      </w:r>
      <w:r w:rsidR="00DA6A89" w:rsidRPr="001C0037">
        <w:rPr>
          <w:sz w:val="20"/>
          <w:szCs w:val="20"/>
        </w:rPr>
        <w:t>i.e., the exporter remains responsible (</w:t>
      </w:r>
      <w:r w:rsidR="006E5FD5" w:rsidRPr="001C0037">
        <w:rPr>
          <w:sz w:val="20"/>
          <w:szCs w:val="20"/>
        </w:rPr>
        <w:t xml:space="preserve">even without notification by the authority) </w:t>
      </w:r>
      <w:r w:rsidR="00DA6A89" w:rsidRPr="001C0037">
        <w:rPr>
          <w:sz w:val="20"/>
          <w:szCs w:val="20"/>
        </w:rPr>
        <w:t xml:space="preserve">for </w:t>
      </w:r>
      <w:r w:rsidR="006E5FD5" w:rsidRPr="001C0037">
        <w:rPr>
          <w:sz w:val="20"/>
          <w:szCs w:val="20"/>
        </w:rPr>
        <w:t xml:space="preserve">preventing </w:t>
      </w:r>
      <w:r w:rsidR="006E5FD5" w:rsidRPr="001C0037">
        <w:rPr>
          <w:sz w:val="20"/>
          <w:szCs w:val="20"/>
        </w:rPr>
        <w:lastRenderedPageBreak/>
        <w:t xml:space="preserve">re-exports to Russia. </w:t>
      </w:r>
      <w:r w:rsidR="00CD4668" w:rsidRPr="001C0037">
        <w:rPr>
          <w:sz w:val="20"/>
          <w:szCs w:val="20"/>
        </w:rPr>
        <w:t xml:space="preserve">On the other hand, according to Article 6b of Regulation (EU) No. 833/2014, there is in any case a "duty on everyone" </w:t>
      </w:r>
      <w:r w:rsidR="00685FE2" w:rsidRPr="001C0037">
        <w:rPr>
          <w:sz w:val="20"/>
          <w:szCs w:val="20"/>
        </w:rPr>
        <w:t>to provide the authorities with all information that facilitates the implementation of the embargo measures and to cooperate with the authorities in verifying such information.</w:t>
      </w:r>
    </w:p>
    <w:p w14:paraId="150FEE52" w14:textId="77777777" w:rsidR="004F26D8" w:rsidRPr="001C0037" w:rsidRDefault="004F26D8" w:rsidP="004F26D8">
      <w:pPr>
        <w:jc w:val="left"/>
        <w:rPr>
          <w:sz w:val="20"/>
          <w:szCs w:val="20"/>
        </w:rPr>
      </w:pPr>
    </w:p>
    <w:p w14:paraId="19FB3BBC" w14:textId="77777777" w:rsidR="00F02994" w:rsidRPr="001C0037" w:rsidRDefault="00F02994" w:rsidP="00F02994">
      <w:pPr>
        <w:jc w:val="left"/>
        <w:rPr>
          <w:b/>
          <w:bCs/>
          <w:i/>
          <w:iCs/>
          <w:color w:val="C00000"/>
          <w:sz w:val="20"/>
          <w:szCs w:val="20"/>
        </w:rPr>
      </w:pPr>
      <w:r w:rsidRPr="001C0037">
        <w:rPr>
          <w:b/>
          <w:bCs/>
          <w:i/>
          <w:iCs/>
          <w:color w:val="C00000"/>
          <w:sz w:val="20"/>
          <w:szCs w:val="20"/>
        </w:rPr>
        <w:t>Import bans</w:t>
      </w:r>
    </w:p>
    <w:p w14:paraId="562F59C9" w14:textId="77777777" w:rsidR="00F02994" w:rsidRPr="001C0037" w:rsidRDefault="00F02994" w:rsidP="00F02994">
      <w:pPr>
        <w:jc w:val="left"/>
        <w:rPr>
          <w:color w:val="002060"/>
          <w:sz w:val="20"/>
          <w:szCs w:val="20"/>
        </w:rPr>
      </w:pPr>
    </w:p>
    <w:p w14:paraId="38210958" w14:textId="5E6D8529" w:rsidR="00F02994" w:rsidRPr="001C0037" w:rsidRDefault="00F02994" w:rsidP="00F02994">
      <w:pPr>
        <w:jc w:val="left"/>
        <w:rPr>
          <w:sz w:val="20"/>
          <w:szCs w:val="20"/>
        </w:rPr>
      </w:pPr>
      <w:r w:rsidRPr="001C0037">
        <w:rPr>
          <w:sz w:val="20"/>
          <w:szCs w:val="20"/>
        </w:rPr>
        <w:t xml:space="preserve">With the 18th package of sanctions, a new Article 3ma was </w:t>
      </w:r>
      <w:r w:rsidR="00514758" w:rsidRPr="001C0037">
        <w:rPr>
          <w:sz w:val="20"/>
          <w:szCs w:val="20"/>
        </w:rPr>
        <w:t>added to Regulation (EU) No. 833/2014. According to this</w:t>
      </w:r>
      <w:r w:rsidRPr="001C0037">
        <w:rPr>
          <w:sz w:val="20"/>
          <w:szCs w:val="20"/>
        </w:rPr>
        <w:t>,</w:t>
      </w:r>
      <w:r w:rsidR="00514758" w:rsidRPr="001C0037">
        <w:rPr>
          <w:sz w:val="20"/>
          <w:szCs w:val="20"/>
        </w:rPr>
        <w:t xml:space="preserve"> </w:t>
      </w:r>
      <w:r w:rsidRPr="001C0037">
        <w:rPr>
          <w:sz w:val="20"/>
          <w:szCs w:val="20"/>
        </w:rPr>
        <w:t xml:space="preserve">from </w:t>
      </w:r>
      <w:r w:rsidR="00514758" w:rsidRPr="001C0037">
        <w:rPr>
          <w:sz w:val="20"/>
          <w:szCs w:val="20"/>
        </w:rPr>
        <w:t>January</w:t>
      </w:r>
      <w:r w:rsidRPr="001C0037">
        <w:rPr>
          <w:sz w:val="20"/>
          <w:szCs w:val="20"/>
        </w:rPr>
        <w:t xml:space="preserve"> 21</w:t>
      </w:r>
      <w:r w:rsidR="00514758" w:rsidRPr="001C0037">
        <w:rPr>
          <w:sz w:val="20"/>
          <w:szCs w:val="20"/>
        </w:rPr>
        <w:t>,</w:t>
      </w:r>
      <w:r w:rsidRPr="001C0037">
        <w:rPr>
          <w:sz w:val="20"/>
          <w:szCs w:val="20"/>
        </w:rPr>
        <w:t xml:space="preserve"> 2026, </w:t>
      </w:r>
      <w:r w:rsidR="00514758" w:rsidRPr="001C0037">
        <w:rPr>
          <w:sz w:val="20"/>
          <w:szCs w:val="20"/>
        </w:rPr>
        <w:t xml:space="preserve">it will be </w:t>
      </w:r>
      <w:r w:rsidRPr="001C0037">
        <w:rPr>
          <w:sz w:val="20"/>
          <w:szCs w:val="20"/>
        </w:rPr>
        <w:t>prohibited to directly or indirectly purchase petroleum products falling under CN code 2710 (</w:t>
      </w:r>
      <w:r w:rsidR="00514758" w:rsidRPr="001C0037">
        <w:rPr>
          <w:sz w:val="20"/>
          <w:szCs w:val="20"/>
        </w:rPr>
        <w:t xml:space="preserve">various oils and oil preparations, e.g. also lubricating oils, motor oils, fuels) </w:t>
      </w:r>
      <w:r w:rsidRPr="001C0037">
        <w:rPr>
          <w:sz w:val="20"/>
          <w:szCs w:val="20"/>
        </w:rPr>
        <w:t xml:space="preserve">directly or indirectly, if they were obtained in a third country from crude oil falling under CN code 2709 00 originating in Russia. </w:t>
      </w:r>
      <w:r w:rsidR="00514758" w:rsidRPr="001C0037">
        <w:rPr>
          <w:sz w:val="20"/>
          <w:szCs w:val="20"/>
        </w:rPr>
        <w:t xml:space="preserve">In addition, </w:t>
      </w:r>
      <w:r w:rsidR="00823DB8" w:rsidRPr="001C0037">
        <w:rPr>
          <w:sz w:val="20"/>
          <w:szCs w:val="20"/>
        </w:rPr>
        <w:t xml:space="preserve">the usual prohibition on the provision of technical assistance, brokering services, financing or financial assistance, as well as insurance and reinsurance in connection with the import ban, </w:t>
      </w:r>
      <w:r w:rsidR="00514758" w:rsidRPr="001C0037">
        <w:rPr>
          <w:sz w:val="20"/>
          <w:szCs w:val="20"/>
        </w:rPr>
        <w:t>applies</w:t>
      </w:r>
      <w:r w:rsidR="00823DB8" w:rsidRPr="001C0037">
        <w:rPr>
          <w:sz w:val="20"/>
          <w:szCs w:val="20"/>
        </w:rPr>
        <w:t xml:space="preserve">. </w:t>
      </w:r>
      <w:r w:rsidRPr="001C0037">
        <w:rPr>
          <w:sz w:val="20"/>
          <w:szCs w:val="20"/>
        </w:rPr>
        <w:t xml:space="preserve">Importers </w:t>
      </w:r>
      <w:r w:rsidR="00823DB8" w:rsidRPr="001C0037">
        <w:rPr>
          <w:sz w:val="20"/>
          <w:szCs w:val="20"/>
        </w:rPr>
        <w:t xml:space="preserve">must also </w:t>
      </w:r>
      <w:r w:rsidRPr="001C0037">
        <w:rPr>
          <w:sz w:val="20"/>
          <w:szCs w:val="20"/>
        </w:rPr>
        <w:t>provide proof of the country of origin of the crude oil used to refine the product in a third country at the time of import, unless the product is imported from a partner country listed in Annex LI (</w:t>
      </w:r>
      <w:r w:rsidR="00823DB8" w:rsidRPr="001C0037">
        <w:rPr>
          <w:sz w:val="20"/>
          <w:szCs w:val="20"/>
        </w:rPr>
        <w:t>Canada, Norway, UK, USA, Switzerland)</w:t>
      </w:r>
      <w:r w:rsidRPr="001C0037">
        <w:rPr>
          <w:sz w:val="20"/>
          <w:szCs w:val="20"/>
        </w:rPr>
        <w:t>.</w:t>
      </w:r>
    </w:p>
    <w:p w14:paraId="222B918B" w14:textId="77777777" w:rsidR="00F02994" w:rsidRPr="001C0037" w:rsidRDefault="00F02994" w:rsidP="00F02994">
      <w:pPr>
        <w:jc w:val="left"/>
        <w:rPr>
          <w:sz w:val="20"/>
          <w:szCs w:val="20"/>
        </w:rPr>
      </w:pPr>
    </w:p>
    <w:p w14:paraId="5D9305F9" w14:textId="42B695F5" w:rsidR="00F02994" w:rsidRPr="001C0037" w:rsidRDefault="00822CC5" w:rsidP="00F02994">
      <w:pPr>
        <w:jc w:val="left"/>
        <w:rPr>
          <w:b/>
          <w:bCs/>
          <w:i/>
          <w:iCs/>
          <w:color w:val="C00000"/>
          <w:sz w:val="20"/>
          <w:szCs w:val="20"/>
        </w:rPr>
      </w:pPr>
      <w:r>
        <w:rPr>
          <w:b/>
          <w:bCs/>
          <w:i/>
          <w:iCs/>
          <w:color w:val="C00000"/>
          <w:sz w:val="20"/>
          <w:szCs w:val="20"/>
        </w:rPr>
        <w:t>Military goods</w:t>
      </w:r>
    </w:p>
    <w:p w14:paraId="5DA9FE70" w14:textId="77777777" w:rsidR="00F02994" w:rsidRPr="001C0037" w:rsidRDefault="00F02994" w:rsidP="004F26D8">
      <w:pPr>
        <w:jc w:val="left"/>
        <w:rPr>
          <w:sz w:val="20"/>
          <w:szCs w:val="20"/>
        </w:rPr>
      </w:pPr>
    </w:p>
    <w:p w14:paraId="488E4802" w14:textId="26935AD9" w:rsidR="00D716B6" w:rsidRPr="001C0037" w:rsidRDefault="00D716B6" w:rsidP="004F26D8">
      <w:pPr>
        <w:jc w:val="left"/>
        <w:rPr>
          <w:sz w:val="20"/>
          <w:szCs w:val="20"/>
        </w:rPr>
      </w:pPr>
      <w:r w:rsidRPr="001C0037">
        <w:rPr>
          <w:sz w:val="20"/>
          <w:szCs w:val="20"/>
        </w:rPr>
        <w:t xml:space="preserve">Article 4 </w:t>
      </w:r>
      <w:r w:rsidR="00514758" w:rsidRPr="001C0037">
        <w:rPr>
          <w:sz w:val="20"/>
          <w:szCs w:val="20"/>
        </w:rPr>
        <w:t xml:space="preserve">of Regulation (EU) No. 833/2014 </w:t>
      </w:r>
      <w:r w:rsidRPr="001C0037">
        <w:rPr>
          <w:sz w:val="20"/>
          <w:szCs w:val="20"/>
        </w:rPr>
        <w:t xml:space="preserve">has also </w:t>
      </w:r>
      <w:r w:rsidR="00440E65" w:rsidRPr="001C0037">
        <w:rPr>
          <w:sz w:val="20"/>
          <w:szCs w:val="20"/>
        </w:rPr>
        <w:t xml:space="preserve">been amended. Previously, it "only" </w:t>
      </w:r>
      <w:r w:rsidR="00FB3D78" w:rsidRPr="001C0037">
        <w:rPr>
          <w:sz w:val="20"/>
          <w:szCs w:val="20"/>
        </w:rPr>
        <w:t xml:space="preserve">prohibited the provision of technical assistance, brokerage services, financing, or financial assistance in connection with the goods and technologies listed in the </w:t>
      </w:r>
      <w:r w:rsidR="00FB3D78" w:rsidRPr="001C0037">
        <w:rPr>
          <w:sz w:val="20"/>
          <w:szCs w:val="20"/>
          <w:u w:val="single"/>
        </w:rPr>
        <w:t>Common Military List</w:t>
      </w:r>
      <w:r w:rsidR="00D82FB7" w:rsidRPr="001C0037">
        <w:rPr>
          <w:sz w:val="20"/>
          <w:szCs w:val="20"/>
        </w:rPr>
        <w:t>, while the actual export ban on military equipment is regulated at the national level</w:t>
      </w:r>
      <w:r w:rsidR="002810FB">
        <w:rPr>
          <w:sz w:val="20"/>
          <w:szCs w:val="20"/>
        </w:rPr>
        <w:t>, in Germany</w:t>
      </w:r>
      <w:r w:rsidR="00D82FB7" w:rsidRPr="001C0037">
        <w:rPr>
          <w:sz w:val="20"/>
          <w:szCs w:val="20"/>
        </w:rPr>
        <w:t xml:space="preserve"> in Section 74 </w:t>
      </w:r>
      <w:r w:rsidR="00822CC5">
        <w:rPr>
          <w:sz w:val="20"/>
          <w:szCs w:val="20"/>
        </w:rPr>
        <w:t xml:space="preserve">of the </w:t>
      </w:r>
      <w:r w:rsidR="00822CC5" w:rsidRPr="00822CC5">
        <w:rPr>
          <w:sz w:val="20"/>
          <w:szCs w:val="20"/>
        </w:rPr>
        <w:t>Foreign Trade and Payments Ordinance</w:t>
      </w:r>
      <w:r w:rsidR="00822CC5">
        <w:rPr>
          <w:sz w:val="20"/>
          <w:szCs w:val="20"/>
        </w:rPr>
        <w:t xml:space="preserve"> (AWV)</w:t>
      </w:r>
      <w:r w:rsidR="00D82FB7" w:rsidRPr="001C0037">
        <w:rPr>
          <w:sz w:val="20"/>
          <w:szCs w:val="20"/>
        </w:rPr>
        <w:t xml:space="preserve">, and the </w:t>
      </w:r>
      <w:r w:rsidR="00F02994" w:rsidRPr="001C0037">
        <w:rPr>
          <w:sz w:val="20"/>
          <w:szCs w:val="20"/>
        </w:rPr>
        <w:t xml:space="preserve">corresponding </w:t>
      </w:r>
      <w:r w:rsidR="00D82FB7" w:rsidRPr="001C0037">
        <w:rPr>
          <w:sz w:val="20"/>
          <w:szCs w:val="20"/>
        </w:rPr>
        <w:t xml:space="preserve">import ban is found in Section 77 AWV. Article 4 has now been revised and paragraph 1(a) now also contains </w:t>
      </w:r>
      <w:r w:rsidR="002810FB">
        <w:rPr>
          <w:sz w:val="20"/>
          <w:szCs w:val="20"/>
        </w:rPr>
        <w:t xml:space="preserve">on an European level </w:t>
      </w:r>
      <w:r w:rsidR="00D82FB7" w:rsidRPr="001C0037">
        <w:rPr>
          <w:sz w:val="20"/>
          <w:szCs w:val="20"/>
        </w:rPr>
        <w:t xml:space="preserve">an export ban (sale, delivery, transfer, export) </w:t>
      </w:r>
      <w:r w:rsidR="00F02994" w:rsidRPr="001C0037">
        <w:rPr>
          <w:sz w:val="20"/>
          <w:szCs w:val="20"/>
        </w:rPr>
        <w:t xml:space="preserve">and </w:t>
      </w:r>
      <w:r w:rsidR="00D82FB7" w:rsidRPr="001C0037">
        <w:rPr>
          <w:sz w:val="20"/>
          <w:szCs w:val="20"/>
        </w:rPr>
        <w:t>paragraph 1(c) an import ban (purchase, import, transport) with regard to goods on the Common Military List.</w:t>
      </w:r>
    </w:p>
    <w:p w14:paraId="6B8B1CFE" w14:textId="77777777" w:rsidR="005879A9" w:rsidRPr="001C0037" w:rsidRDefault="005879A9" w:rsidP="00E82C13">
      <w:pPr>
        <w:jc w:val="left"/>
        <w:rPr>
          <w:sz w:val="20"/>
          <w:szCs w:val="20"/>
        </w:rPr>
      </w:pPr>
    </w:p>
    <w:p w14:paraId="33FE81FD" w14:textId="77777777" w:rsidR="00D850A4" w:rsidRPr="001C0037" w:rsidRDefault="00D850A4" w:rsidP="00D850A4">
      <w:pPr>
        <w:jc w:val="left"/>
        <w:rPr>
          <w:b/>
          <w:bCs/>
          <w:sz w:val="20"/>
          <w:szCs w:val="20"/>
        </w:rPr>
      </w:pPr>
      <w:r w:rsidRPr="001C0037">
        <w:rPr>
          <w:b/>
          <w:bCs/>
          <w:sz w:val="20"/>
          <w:szCs w:val="20"/>
          <w:highlight w:val="lightGray"/>
          <w:u w:val="single"/>
        </w:rPr>
        <w:t>Russia</w:t>
      </w:r>
      <w:r w:rsidRPr="001C0037">
        <w:rPr>
          <w:b/>
          <w:bCs/>
          <w:sz w:val="20"/>
          <w:szCs w:val="20"/>
          <w:highlight w:val="lightGray"/>
        </w:rPr>
        <w:t>: Regulation (EU) No. 269/2014</w:t>
      </w:r>
    </w:p>
    <w:p w14:paraId="45CD9CA1" w14:textId="77777777" w:rsidR="00D850A4" w:rsidRPr="001C0037" w:rsidRDefault="00D850A4" w:rsidP="00D850A4">
      <w:pPr>
        <w:jc w:val="left"/>
        <w:rPr>
          <w:sz w:val="20"/>
          <w:szCs w:val="20"/>
        </w:rPr>
      </w:pPr>
    </w:p>
    <w:p w14:paraId="7BFE9E88" w14:textId="5FBC2400" w:rsidR="00D850A4" w:rsidRPr="001C0037" w:rsidRDefault="002810FB" w:rsidP="00D850A4">
      <w:pPr>
        <w:jc w:val="left"/>
        <w:rPr>
          <w:sz w:val="20"/>
          <w:szCs w:val="20"/>
        </w:rPr>
      </w:pPr>
      <w:r>
        <w:rPr>
          <w:sz w:val="20"/>
          <w:szCs w:val="20"/>
        </w:rPr>
        <w:t>With regard to the person-related</w:t>
      </w:r>
      <w:r w:rsidR="00D850A4" w:rsidRPr="001C0037">
        <w:rPr>
          <w:sz w:val="20"/>
          <w:szCs w:val="20"/>
        </w:rPr>
        <w:t xml:space="preserve"> sanctions, </w:t>
      </w:r>
      <w:r w:rsidR="00D850A4" w:rsidRPr="001C0037">
        <w:rPr>
          <w:b/>
          <w:bCs/>
          <w:sz w:val="20"/>
          <w:szCs w:val="20"/>
        </w:rPr>
        <w:t>Implementing Regulation (EU) 2025/1476 of July 18, 2025</w:t>
      </w:r>
      <w:r w:rsidR="00D850A4" w:rsidRPr="001C0037">
        <w:rPr>
          <w:sz w:val="20"/>
          <w:szCs w:val="20"/>
        </w:rPr>
        <w:t>, expanded Annex I to Regulation (EU) No. 269/2014 to include 14 natural persons and 41 legal entities, organizations, and institutions. These include (not for the first time) several companies from China and Hong Kong, as well as from the United Arab Emirates, but also from India and Singapore, for example. Since, pursuant to Article 2(2) of Regulation (EU) No. 269/2014, no funds or economic resources (in particular commercial goods) may be made available, either directly or indirectly, to any of these sanctioned natural and legal persons, organizations, and entities, the sanctions are by no means limited to business relationships with a connection to Russia. Prior screening of potential business partners is required in all cases.</w:t>
      </w:r>
    </w:p>
    <w:p w14:paraId="7214C3A2" w14:textId="77777777" w:rsidR="00D850A4" w:rsidRPr="001C0037" w:rsidRDefault="00D850A4" w:rsidP="00D850A4">
      <w:pPr>
        <w:jc w:val="left"/>
        <w:rPr>
          <w:sz w:val="20"/>
          <w:szCs w:val="20"/>
        </w:rPr>
      </w:pPr>
    </w:p>
    <w:p w14:paraId="3E17E509" w14:textId="47BF78F3" w:rsidR="001F5B9B" w:rsidRPr="001C0037" w:rsidRDefault="001F5B9B" w:rsidP="001F5B9B">
      <w:pPr>
        <w:jc w:val="left"/>
        <w:rPr>
          <w:b/>
          <w:bCs/>
          <w:sz w:val="20"/>
          <w:szCs w:val="20"/>
        </w:rPr>
      </w:pPr>
      <w:r w:rsidRPr="001C0037">
        <w:rPr>
          <w:b/>
          <w:bCs/>
          <w:sz w:val="20"/>
          <w:szCs w:val="20"/>
          <w:highlight w:val="lightGray"/>
          <w:u w:val="single"/>
        </w:rPr>
        <w:t>Belarus</w:t>
      </w:r>
      <w:r w:rsidRPr="001C0037">
        <w:rPr>
          <w:b/>
          <w:bCs/>
          <w:sz w:val="20"/>
          <w:szCs w:val="20"/>
          <w:highlight w:val="lightGray"/>
        </w:rPr>
        <w:t>: Regulation (EC) No. 765/2006 (Part I)</w:t>
      </w:r>
    </w:p>
    <w:p w14:paraId="35BA50EE" w14:textId="77777777" w:rsidR="001F5B9B" w:rsidRPr="001C0037" w:rsidRDefault="001F5B9B" w:rsidP="001F5B9B">
      <w:pPr>
        <w:jc w:val="left"/>
        <w:rPr>
          <w:sz w:val="20"/>
          <w:szCs w:val="20"/>
        </w:rPr>
      </w:pPr>
    </w:p>
    <w:p w14:paraId="3D344AE1" w14:textId="71D5BA83" w:rsidR="001F5B9B" w:rsidRPr="001C0037" w:rsidRDefault="001F5B9B" w:rsidP="001F5B9B">
      <w:pPr>
        <w:jc w:val="left"/>
        <w:rPr>
          <w:sz w:val="20"/>
          <w:szCs w:val="20"/>
        </w:rPr>
      </w:pPr>
      <w:r w:rsidRPr="001C0037">
        <w:rPr>
          <w:sz w:val="20"/>
          <w:szCs w:val="20"/>
        </w:rPr>
        <w:t xml:space="preserve">Amendments relating to goods-related measures under Regulation (EC) No. 765/2006 were made by </w:t>
      </w:r>
      <w:r w:rsidRPr="001C0037">
        <w:rPr>
          <w:b/>
          <w:bCs/>
          <w:sz w:val="20"/>
          <w:szCs w:val="20"/>
        </w:rPr>
        <w:t>Regulation (EU) 2025/1472 of July 18, 2025</w:t>
      </w:r>
      <w:r w:rsidR="00524EDC" w:rsidRPr="001C0037">
        <w:rPr>
          <w:sz w:val="20"/>
          <w:szCs w:val="20"/>
        </w:rPr>
        <w:t>:</w:t>
      </w:r>
    </w:p>
    <w:p w14:paraId="64DD8170" w14:textId="77777777" w:rsidR="00524EDC" w:rsidRPr="001C0037" w:rsidRDefault="00524EDC" w:rsidP="001F5B9B">
      <w:pPr>
        <w:jc w:val="left"/>
        <w:rPr>
          <w:sz w:val="20"/>
          <w:szCs w:val="20"/>
        </w:rPr>
      </w:pPr>
    </w:p>
    <w:p w14:paraId="54D3074F" w14:textId="627ED7D9" w:rsidR="00524EDC" w:rsidRPr="001C0037" w:rsidRDefault="00723FEC" w:rsidP="001F5B9B">
      <w:pPr>
        <w:jc w:val="left"/>
        <w:rPr>
          <w:sz w:val="20"/>
          <w:szCs w:val="20"/>
        </w:rPr>
      </w:pPr>
      <w:r w:rsidRPr="001C0037">
        <w:rPr>
          <w:sz w:val="20"/>
          <w:szCs w:val="20"/>
        </w:rPr>
        <w:t>Similar to the stricter measures against Russia</w:t>
      </w:r>
      <w:r w:rsidR="008040D5" w:rsidRPr="001C0037">
        <w:rPr>
          <w:sz w:val="20"/>
          <w:szCs w:val="20"/>
        </w:rPr>
        <w:t xml:space="preserve">, an import ban </w:t>
      </w:r>
      <w:r w:rsidRPr="001C0037">
        <w:rPr>
          <w:sz w:val="20"/>
          <w:szCs w:val="20"/>
        </w:rPr>
        <w:t xml:space="preserve">was </w:t>
      </w:r>
      <w:r w:rsidR="008040D5" w:rsidRPr="001C0037">
        <w:rPr>
          <w:sz w:val="20"/>
          <w:szCs w:val="20"/>
        </w:rPr>
        <w:t xml:space="preserve">imposed on goods and technologies included in </w:t>
      </w:r>
      <w:r w:rsidR="008040D5" w:rsidRPr="001C0037">
        <w:rPr>
          <w:sz w:val="20"/>
          <w:szCs w:val="20"/>
          <w:u w:val="single"/>
        </w:rPr>
        <w:t>the Common Military List</w:t>
      </w:r>
      <w:r w:rsidR="008040D5" w:rsidRPr="00AC12C0">
        <w:rPr>
          <w:sz w:val="20"/>
          <w:szCs w:val="20"/>
        </w:rPr>
        <w:t xml:space="preserve"> </w:t>
      </w:r>
      <w:r w:rsidRPr="001C0037">
        <w:rPr>
          <w:sz w:val="20"/>
          <w:szCs w:val="20"/>
        </w:rPr>
        <w:t xml:space="preserve">with the </w:t>
      </w:r>
      <w:r w:rsidR="00524EDC" w:rsidRPr="001C0037">
        <w:rPr>
          <w:sz w:val="20"/>
          <w:szCs w:val="20"/>
        </w:rPr>
        <w:t xml:space="preserve">new Article 1aa added </w:t>
      </w:r>
      <w:r w:rsidR="008040D5" w:rsidRPr="001C0037">
        <w:rPr>
          <w:sz w:val="20"/>
          <w:szCs w:val="20"/>
        </w:rPr>
        <w:t xml:space="preserve">to Regulation (EC) No. 765/2006, and an export ban was imposed with the new </w:t>
      </w:r>
      <w:r w:rsidR="00524EDC" w:rsidRPr="001C0037">
        <w:rPr>
          <w:sz w:val="20"/>
          <w:szCs w:val="20"/>
        </w:rPr>
        <w:t>Article 1ab</w:t>
      </w:r>
      <w:r w:rsidR="008040D5" w:rsidRPr="001C0037">
        <w:rPr>
          <w:sz w:val="20"/>
          <w:szCs w:val="20"/>
        </w:rPr>
        <w:t xml:space="preserve">. </w:t>
      </w:r>
      <w:r w:rsidR="00E62503" w:rsidRPr="001C0037">
        <w:rPr>
          <w:sz w:val="20"/>
          <w:szCs w:val="20"/>
        </w:rPr>
        <w:t xml:space="preserve">The national export and import bans on military equipment </w:t>
      </w:r>
      <w:r w:rsidR="00AC12C0">
        <w:rPr>
          <w:sz w:val="20"/>
          <w:szCs w:val="20"/>
        </w:rPr>
        <w:t xml:space="preserve">(in Germany </w:t>
      </w:r>
      <w:r w:rsidR="00E62503" w:rsidRPr="001C0037">
        <w:rPr>
          <w:sz w:val="20"/>
          <w:szCs w:val="20"/>
        </w:rPr>
        <w:t xml:space="preserve">pursuant to Sections 74 and 77 </w:t>
      </w:r>
      <w:r w:rsidR="00AC12C0">
        <w:rPr>
          <w:sz w:val="20"/>
          <w:szCs w:val="20"/>
        </w:rPr>
        <w:t>AWV)</w:t>
      </w:r>
      <w:r w:rsidR="00E62503" w:rsidRPr="001C0037">
        <w:rPr>
          <w:sz w:val="20"/>
          <w:szCs w:val="20"/>
        </w:rPr>
        <w:t xml:space="preserve"> remain in force. </w:t>
      </w:r>
    </w:p>
    <w:p w14:paraId="1E1831E6" w14:textId="77777777" w:rsidR="00F10770" w:rsidRPr="001C0037" w:rsidRDefault="00F10770" w:rsidP="001F5B9B">
      <w:pPr>
        <w:jc w:val="left"/>
        <w:rPr>
          <w:sz w:val="20"/>
          <w:szCs w:val="20"/>
        </w:rPr>
      </w:pPr>
    </w:p>
    <w:p w14:paraId="081458B4" w14:textId="4DFABE62" w:rsidR="00F10770" w:rsidRPr="001C0037" w:rsidRDefault="00F10770" w:rsidP="001F5B9B">
      <w:pPr>
        <w:jc w:val="left"/>
        <w:rPr>
          <w:sz w:val="20"/>
          <w:szCs w:val="20"/>
        </w:rPr>
      </w:pPr>
      <w:r w:rsidRPr="001C0037">
        <w:rPr>
          <w:sz w:val="20"/>
          <w:szCs w:val="20"/>
          <w:u w:val="single"/>
        </w:rPr>
        <w:t>Annex XVIII</w:t>
      </w:r>
      <w:r w:rsidRPr="00AC12C0">
        <w:rPr>
          <w:sz w:val="20"/>
          <w:szCs w:val="20"/>
        </w:rPr>
        <w:t xml:space="preserve"> </w:t>
      </w:r>
      <w:r w:rsidRPr="001C0037">
        <w:rPr>
          <w:sz w:val="20"/>
          <w:szCs w:val="20"/>
        </w:rPr>
        <w:t xml:space="preserve">has been expanded to include various goods whose sale, delivery, transfer, or export to Belarus or for use in Belarus is now prohibited under Article 1bb of Regulation (EC) No. 765/2006. </w:t>
      </w:r>
      <w:r w:rsidR="001B3379" w:rsidRPr="001C0037">
        <w:rPr>
          <w:sz w:val="20"/>
          <w:szCs w:val="20"/>
        </w:rPr>
        <w:t xml:space="preserve">Exceptions for existing contracts can be found in </w:t>
      </w:r>
      <w:r w:rsidR="00893EB2">
        <w:rPr>
          <w:sz w:val="20"/>
          <w:szCs w:val="20"/>
        </w:rPr>
        <w:t>Article</w:t>
      </w:r>
      <w:r w:rsidR="001B3379" w:rsidRPr="001C0037">
        <w:rPr>
          <w:sz w:val="20"/>
          <w:szCs w:val="20"/>
        </w:rPr>
        <w:t xml:space="preserve"> 1bb(3a) and (3b) and a revised licensing requirement (</w:t>
      </w:r>
      <w:r w:rsidR="00AF0899" w:rsidRPr="001C0037">
        <w:rPr>
          <w:sz w:val="20"/>
          <w:szCs w:val="20"/>
        </w:rPr>
        <w:t xml:space="preserve">in the case of personal use of certain goods in the household by natural persons in Belarus) </w:t>
      </w:r>
      <w:r w:rsidR="001B3379" w:rsidRPr="001C0037">
        <w:rPr>
          <w:sz w:val="20"/>
          <w:szCs w:val="20"/>
        </w:rPr>
        <w:t xml:space="preserve">in </w:t>
      </w:r>
      <w:r w:rsidR="00893EB2">
        <w:rPr>
          <w:sz w:val="20"/>
          <w:szCs w:val="20"/>
        </w:rPr>
        <w:t>Article</w:t>
      </w:r>
      <w:r w:rsidR="001B3379" w:rsidRPr="001C0037">
        <w:rPr>
          <w:sz w:val="20"/>
          <w:szCs w:val="20"/>
        </w:rPr>
        <w:t xml:space="preserve"> 1bb(13) of the Regulation.</w:t>
      </w:r>
    </w:p>
    <w:p w14:paraId="4A7F453A" w14:textId="77777777" w:rsidR="00AF0899" w:rsidRPr="001C0037" w:rsidRDefault="00AF0899" w:rsidP="001F5B9B">
      <w:pPr>
        <w:jc w:val="left"/>
        <w:rPr>
          <w:sz w:val="20"/>
          <w:szCs w:val="20"/>
        </w:rPr>
      </w:pPr>
    </w:p>
    <w:p w14:paraId="311B06BE" w14:textId="244097BC" w:rsidR="00CF3223" w:rsidRPr="001C0037" w:rsidRDefault="00AF0899" w:rsidP="001F5B9B">
      <w:pPr>
        <w:jc w:val="left"/>
        <w:rPr>
          <w:sz w:val="20"/>
          <w:szCs w:val="20"/>
        </w:rPr>
      </w:pPr>
      <w:r w:rsidRPr="001C0037">
        <w:rPr>
          <w:sz w:val="20"/>
          <w:szCs w:val="20"/>
          <w:u w:val="single"/>
        </w:rPr>
        <w:t>Annex Va</w:t>
      </w:r>
      <w:r w:rsidRPr="00813074">
        <w:rPr>
          <w:sz w:val="20"/>
          <w:szCs w:val="20"/>
        </w:rPr>
        <w:t xml:space="preserve"> </w:t>
      </w:r>
      <w:r w:rsidRPr="001C0037">
        <w:rPr>
          <w:sz w:val="20"/>
          <w:szCs w:val="20"/>
        </w:rPr>
        <w:t>has also been expanded and, as with the measures for Russia</w:t>
      </w:r>
      <w:r w:rsidR="00CF3223" w:rsidRPr="001C0037">
        <w:rPr>
          <w:sz w:val="20"/>
          <w:szCs w:val="20"/>
        </w:rPr>
        <w:t xml:space="preserve">, a </w:t>
      </w:r>
      <w:r w:rsidR="00CF3223" w:rsidRPr="00813074">
        <w:rPr>
          <w:sz w:val="20"/>
          <w:szCs w:val="20"/>
          <w:u w:val="single"/>
        </w:rPr>
        <w:t>catch-all clause</w:t>
      </w:r>
      <w:r w:rsidR="00CF3223" w:rsidRPr="001C0037">
        <w:rPr>
          <w:sz w:val="20"/>
          <w:szCs w:val="20"/>
        </w:rPr>
        <w:t xml:space="preserve"> in the form of an authorization </w:t>
      </w:r>
      <w:r w:rsidRPr="001C0037">
        <w:rPr>
          <w:sz w:val="20"/>
          <w:szCs w:val="20"/>
        </w:rPr>
        <w:t xml:space="preserve">requirement has </w:t>
      </w:r>
      <w:r w:rsidR="00CF3223" w:rsidRPr="001C0037">
        <w:rPr>
          <w:sz w:val="20"/>
          <w:szCs w:val="20"/>
        </w:rPr>
        <w:t xml:space="preserve">been introduced in the new </w:t>
      </w:r>
      <w:r w:rsidR="00893EB2">
        <w:rPr>
          <w:sz w:val="20"/>
          <w:szCs w:val="20"/>
        </w:rPr>
        <w:t>Article</w:t>
      </w:r>
      <w:r w:rsidRPr="001C0037">
        <w:rPr>
          <w:sz w:val="20"/>
          <w:szCs w:val="20"/>
        </w:rPr>
        <w:t xml:space="preserve"> 1f</w:t>
      </w:r>
      <w:r w:rsidR="00CF3223" w:rsidRPr="001C0037">
        <w:rPr>
          <w:sz w:val="20"/>
          <w:szCs w:val="20"/>
        </w:rPr>
        <w:t>(1aa) of Regulation (EC) No. 765/2006 for cases where the exporter has been</w:t>
      </w:r>
      <w:r w:rsidR="00CF3223" w:rsidRPr="00813074">
        <w:rPr>
          <w:sz w:val="20"/>
          <w:szCs w:val="20"/>
        </w:rPr>
        <w:t xml:space="preserve"> </w:t>
      </w:r>
      <w:r w:rsidR="00CF3223" w:rsidRPr="001C0037">
        <w:rPr>
          <w:sz w:val="20"/>
          <w:szCs w:val="20"/>
          <w:u w:val="single"/>
        </w:rPr>
        <w:t>informed</w:t>
      </w:r>
      <w:r w:rsidR="00CF3223" w:rsidRPr="001C0037">
        <w:rPr>
          <w:sz w:val="20"/>
          <w:szCs w:val="20"/>
        </w:rPr>
        <w:t xml:space="preserve"> by the authorities that the </w:t>
      </w:r>
      <w:r w:rsidR="00BE6E43" w:rsidRPr="001C0037">
        <w:rPr>
          <w:sz w:val="20"/>
          <w:szCs w:val="20"/>
        </w:rPr>
        <w:t>goods intended for export to third countries could be used in whole or in part for natural or legal persons, organizations, or entities in Belarus or for use in Belarus.</w:t>
      </w:r>
    </w:p>
    <w:p w14:paraId="0304D7D9" w14:textId="77777777" w:rsidR="00BE6E43" w:rsidRPr="001C0037" w:rsidRDefault="00BE6E43" w:rsidP="001F5B9B">
      <w:pPr>
        <w:jc w:val="left"/>
        <w:rPr>
          <w:sz w:val="20"/>
          <w:szCs w:val="20"/>
        </w:rPr>
      </w:pPr>
    </w:p>
    <w:p w14:paraId="3C70F21E" w14:textId="5B239A85" w:rsidR="000224AF" w:rsidRPr="001C0037" w:rsidRDefault="000224AF" w:rsidP="000224AF">
      <w:pPr>
        <w:jc w:val="left"/>
        <w:rPr>
          <w:sz w:val="20"/>
          <w:szCs w:val="20"/>
        </w:rPr>
      </w:pPr>
      <w:r w:rsidRPr="001C0037">
        <w:rPr>
          <w:sz w:val="20"/>
          <w:szCs w:val="20"/>
          <w:u w:val="single"/>
        </w:rPr>
        <w:t xml:space="preserve">Annex </w:t>
      </w:r>
      <w:proofErr w:type="spellStart"/>
      <w:r w:rsidRPr="001C0037">
        <w:rPr>
          <w:sz w:val="20"/>
          <w:szCs w:val="20"/>
          <w:u w:val="single"/>
        </w:rPr>
        <w:t>XIVa</w:t>
      </w:r>
      <w:proofErr w:type="spellEnd"/>
      <w:r w:rsidRPr="00813074">
        <w:rPr>
          <w:sz w:val="20"/>
          <w:szCs w:val="20"/>
        </w:rPr>
        <w:t xml:space="preserve"> </w:t>
      </w:r>
      <w:r w:rsidRPr="001C0037">
        <w:rPr>
          <w:sz w:val="20"/>
          <w:szCs w:val="20"/>
        </w:rPr>
        <w:t xml:space="preserve">contains a list of goods whose transit through Belarus </w:t>
      </w:r>
      <w:r w:rsidR="00BE46CD" w:rsidRPr="001C0037">
        <w:rPr>
          <w:sz w:val="20"/>
          <w:szCs w:val="20"/>
        </w:rPr>
        <w:t xml:space="preserve">is prohibited </w:t>
      </w:r>
      <w:r w:rsidRPr="001C0037">
        <w:rPr>
          <w:sz w:val="20"/>
          <w:szCs w:val="20"/>
        </w:rPr>
        <w:t xml:space="preserve">in accordance with </w:t>
      </w:r>
      <w:r w:rsidR="00893EB2" w:rsidRPr="00893EB2">
        <w:rPr>
          <w:sz w:val="20"/>
          <w:szCs w:val="20"/>
        </w:rPr>
        <w:t>Article</w:t>
      </w:r>
      <w:r w:rsidRPr="001C0037">
        <w:rPr>
          <w:sz w:val="20"/>
          <w:szCs w:val="20"/>
        </w:rPr>
        <w:t xml:space="preserve"> 1s(</w:t>
      </w:r>
      <w:r w:rsidR="00BE46CD" w:rsidRPr="001C0037">
        <w:rPr>
          <w:sz w:val="20"/>
          <w:szCs w:val="20"/>
        </w:rPr>
        <w:t xml:space="preserve">1a) </w:t>
      </w:r>
      <w:r w:rsidRPr="001C0037">
        <w:rPr>
          <w:sz w:val="20"/>
          <w:szCs w:val="20"/>
        </w:rPr>
        <w:t>of Regulation (EC) No. 765/2006</w:t>
      </w:r>
      <w:r w:rsidR="00BE46CD" w:rsidRPr="001C0037">
        <w:rPr>
          <w:sz w:val="20"/>
          <w:szCs w:val="20"/>
        </w:rPr>
        <w:t xml:space="preserve">. Goods falling under CN code 8479 82 have been newly added to this annex. </w:t>
      </w:r>
      <w:r w:rsidR="00306313" w:rsidRPr="001C0037">
        <w:rPr>
          <w:sz w:val="20"/>
          <w:szCs w:val="20"/>
        </w:rPr>
        <w:t>In addition</w:t>
      </w:r>
      <w:r w:rsidR="007F25A7" w:rsidRPr="00813074">
        <w:rPr>
          <w:sz w:val="20"/>
          <w:szCs w:val="20"/>
        </w:rPr>
        <w:t xml:space="preserve">, </w:t>
      </w:r>
      <w:r w:rsidR="007F25A7" w:rsidRPr="001C0037">
        <w:rPr>
          <w:sz w:val="20"/>
          <w:szCs w:val="20"/>
          <w:u w:val="single"/>
        </w:rPr>
        <w:t>Annex XIX</w:t>
      </w:r>
      <w:r w:rsidR="007F25A7" w:rsidRPr="00813074">
        <w:rPr>
          <w:sz w:val="20"/>
          <w:szCs w:val="20"/>
        </w:rPr>
        <w:t xml:space="preserve">, </w:t>
      </w:r>
      <w:r w:rsidR="007F25A7" w:rsidRPr="001C0037">
        <w:rPr>
          <w:sz w:val="20"/>
          <w:szCs w:val="20"/>
        </w:rPr>
        <w:t xml:space="preserve">i.e. </w:t>
      </w:r>
      <w:r w:rsidR="00306313" w:rsidRPr="001C0037">
        <w:rPr>
          <w:sz w:val="20"/>
          <w:szCs w:val="20"/>
        </w:rPr>
        <w:t>the list of goods whose transit through Belarus is prohibited under Article 1bb(2) of Regulation (EC) No. 765/2006, has been revised.</w:t>
      </w:r>
    </w:p>
    <w:p w14:paraId="07CADC3E" w14:textId="77777777" w:rsidR="001F5B9B" w:rsidRPr="001C0037" w:rsidRDefault="001F5B9B" w:rsidP="001F5B9B">
      <w:pPr>
        <w:jc w:val="left"/>
        <w:rPr>
          <w:sz w:val="20"/>
          <w:szCs w:val="20"/>
        </w:rPr>
      </w:pPr>
    </w:p>
    <w:p w14:paraId="45C3D288" w14:textId="66AC614D" w:rsidR="001E369F" w:rsidRPr="001C0037" w:rsidRDefault="001E369F" w:rsidP="00E82C13">
      <w:pPr>
        <w:jc w:val="left"/>
        <w:rPr>
          <w:b/>
          <w:bCs/>
          <w:sz w:val="20"/>
          <w:szCs w:val="20"/>
        </w:rPr>
      </w:pPr>
      <w:r w:rsidRPr="001C0037">
        <w:rPr>
          <w:b/>
          <w:bCs/>
          <w:sz w:val="20"/>
          <w:szCs w:val="20"/>
          <w:highlight w:val="lightGray"/>
          <w:u w:val="single"/>
        </w:rPr>
        <w:t>Belarus</w:t>
      </w:r>
      <w:r w:rsidRPr="001C0037">
        <w:rPr>
          <w:b/>
          <w:bCs/>
          <w:sz w:val="20"/>
          <w:szCs w:val="20"/>
          <w:highlight w:val="lightGray"/>
        </w:rPr>
        <w:t xml:space="preserve">: Regulation (EC) No. 765/2006 </w:t>
      </w:r>
      <w:r w:rsidR="001D410F" w:rsidRPr="001C0037">
        <w:rPr>
          <w:b/>
          <w:bCs/>
          <w:sz w:val="20"/>
          <w:szCs w:val="20"/>
          <w:highlight w:val="lightGray"/>
        </w:rPr>
        <w:t>(Part II)</w:t>
      </w:r>
    </w:p>
    <w:p w14:paraId="5B75B051" w14:textId="77777777" w:rsidR="001E369F" w:rsidRPr="001C0037" w:rsidRDefault="001E369F" w:rsidP="00E82C13">
      <w:pPr>
        <w:jc w:val="left"/>
        <w:rPr>
          <w:sz w:val="20"/>
          <w:szCs w:val="20"/>
        </w:rPr>
      </w:pPr>
    </w:p>
    <w:p w14:paraId="43DCA542" w14:textId="38FBA9DF" w:rsidR="006B4E4D" w:rsidRPr="001C0037" w:rsidRDefault="006B4E4D" w:rsidP="00E82C13">
      <w:pPr>
        <w:jc w:val="left"/>
        <w:rPr>
          <w:sz w:val="20"/>
          <w:szCs w:val="20"/>
        </w:rPr>
      </w:pPr>
      <w:r w:rsidRPr="001C0037">
        <w:rPr>
          <w:sz w:val="20"/>
          <w:szCs w:val="20"/>
        </w:rPr>
        <w:t>Unlike in the case of the Russian embargo, the person</w:t>
      </w:r>
      <w:r w:rsidR="00EA09B7">
        <w:rPr>
          <w:sz w:val="20"/>
          <w:szCs w:val="20"/>
        </w:rPr>
        <w:t>-related</w:t>
      </w:r>
      <w:r w:rsidRPr="001C0037">
        <w:rPr>
          <w:sz w:val="20"/>
          <w:szCs w:val="20"/>
        </w:rPr>
        <w:t xml:space="preserve"> sanctions against Belarus are not contained in a separate regulation, but are part </w:t>
      </w:r>
      <w:r w:rsidR="00555AAE" w:rsidRPr="001C0037">
        <w:rPr>
          <w:sz w:val="20"/>
          <w:szCs w:val="20"/>
        </w:rPr>
        <w:t xml:space="preserve">of the </w:t>
      </w:r>
      <w:r w:rsidR="00EA09B7">
        <w:rPr>
          <w:sz w:val="20"/>
          <w:szCs w:val="20"/>
        </w:rPr>
        <w:t>R</w:t>
      </w:r>
      <w:r w:rsidR="00555AAE" w:rsidRPr="001C0037">
        <w:rPr>
          <w:sz w:val="20"/>
          <w:szCs w:val="20"/>
        </w:rPr>
        <w:t xml:space="preserve">egulation (EC) No. 765/2006, which also includes goods- and sector-related as well as other embargo measures. </w:t>
      </w:r>
      <w:r w:rsidR="008E588E" w:rsidRPr="001C0037">
        <w:rPr>
          <w:sz w:val="20"/>
          <w:szCs w:val="20"/>
        </w:rPr>
        <w:t xml:space="preserve">Article 2(2) of Regulation (EC) No. 765/2006 prohibits the direct or indirect provision of funds or economic resources to the natural and legal persons, organizations, and entities listed in Annex I. </w:t>
      </w:r>
      <w:r w:rsidR="003844CA" w:rsidRPr="001C0037">
        <w:rPr>
          <w:b/>
          <w:bCs/>
          <w:sz w:val="20"/>
          <w:szCs w:val="20"/>
        </w:rPr>
        <w:t xml:space="preserve"> Implementation Regulation (EU)</w:t>
      </w:r>
      <w:r w:rsidR="007D4DAA" w:rsidRPr="001C0037">
        <w:rPr>
          <w:b/>
          <w:bCs/>
          <w:sz w:val="20"/>
          <w:szCs w:val="20"/>
        </w:rPr>
        <w:t xml:space="preserve"> 2025/1469 of July 18, 2025 </w:t>
      </w:r>
      <w:r w:rsidR="007D4DAA" w:rsidRPr="001C0037">
        <w:rPr>
          <w:sz w:val="20"/>
          <w:szCs w:val="20"/>
        </w:rPr>
        <w:t>added eight companies from Belarus to Annex I of the Regulation.</w:t>
      </w:r>
    </w:p>
    <w:p w14:paraId="5E555867" w14:textId="77777777" w:rsidR="00443232" w:rsidRPr="001C0037" w:rsidRDefault="00443232" w:rsidP="00E82C13">
      <w:pPr>
        <w:jc w:val="left"/>
        <w:rPr>
          <w:sz w:val="20"/>
          <w:szCs w:val="20"/>
        </w:rPr>
      </w:pPr>
    </w:p>
    <w:p w14:paraId="5529F383" w14:textId="030A45E5" w:rsidR="007F25A7" w:rsidRPr="001C0037" w:rsidRDefault="005E2DE1" w:rsidP="00E82C13">
      <w:pPr>
        <w:jc w:val="left"/>
        <w:rPr>
          <w:b/>
          <w:bCs/>
          <w:sz w:val="20"/>
          <w:szCs w:val="20"/>
        </w:rPr>
      </w:pPr>
      <w:r w:rsidRPr="001C0037">
        <w:rPr>
          <w:b/>
          <w:bCs/>
          <w:sz w:val="20"/>
          <w:szCs w:val="20"/>
          <w:highlight w:val="lightGray"/>
          <w:u w:val="single"/>
        </w:rPr>
        <w:t>Outlook</w:t>
      </w:r>
      <w:r w:rsidRPr="001C0037">
        <w:rPr>
          <w:b/>
          <w:bCs/>
          <w:sz w:val="20"/>
          <w:szCs w:val="20"/>
          <w:highlight w:val="lightGray"/>
        </w:rPr>
        <w:t>: After the package is before the package</w:t>
      </w:r>
      <w:r w:rsidR="00694FFA" w:rsidRPr="001C0037">
        <w:rPr>
          <w:b/>
          <w:bCs/>
          <w:sz w:val="20"/>
          <w:szCs w:val="20"/>
          <w:highlight w:val="lightGray"/>
        </w:rPr>
        <w:t>...</w:t>
      </w:r>
    </w:p>
    <w:p w14:paraId="0684A014" w14:textId="77777777" w:rsidR="005E2DE1" w:rsidRPr="001C0037" w:rsidRDefault="005E2DE1" w:rsidP="00E82C13">
      <w:pPr>
        <w:jc w:val="left"/>
        <w:rPr>
          <w:sz w:val="20"/>
          <w:szCs w:val="20"/>
        </w:rPr>
      </w:pPr>
    </w:p>
    <w:p w14:paraId="05CA13B6" w14:textId="094236D2" w:rsidR="005E2DE1" w:rsidRPr="001C0037" w:rsidRDefault="005B5D34" w:rsidP="00E82C13">
      <w:pPr>
        <w:jc w:val="left"/>
        <w:rPr>
          <w:sz w:val="20"/>
          <w:szCs w:val="20"/>
        </w:rPr>
      </w:pPr>
      <w:r w:rsidRPr="001C0037">
        <w:rPr>
          <w:sz w:val="20"/>
          <w:szCs w:val="20"/>
        </w:rPr>
        <w:t xml:space="preserve">After the "summit meeting" in Alaska on August 15, 2025, remained unsuccessful, as expected, and Russia instead continued its war of aggression against Ukraine not only unabated but harder than ever, the EU immediately announced further measures and asked member states for proposals. </w:t>
      </w:r>
      <w:r w:rsidR="00B1128D" w:rsidRPr="001C0037">
        <w:rPr>
          <w:sz w:val="20"/>
          <w:szCs w:val="20"/>
        </w:rPr>
        <w:t>It is doubtful that the 19th package of sanctions, which is expected shortly</w:t>
      </w:r>
      <w:r w:rsidR="000F6FF5" w:rsidRPr="001C0037">
        <w:rPr>
          <w:sz w:val="20"/>
          <w:szCs w:val="20"/>
        </w:rPr>
        <w:t>,</w:t>
      </w:r>
      <w:r w:rsidR="00B1128D" w:rsidRPr="001C0037">
        <w:rPr>
          <w:sz w:val="20"/>
          <w:szCs w:val="20"/>
        </w:rPr>
        <w:t xml:space="preserve"> will already include the complete renunciation of Russian energy demanded by President Trump </w:t>
      </w:r>
      <w:r w:rsidR="000F6FF5" w:rsidRPr="001C0037">
        <w:rPr>
          <w:sz w:val="20"/>
          <w:szCs w:val="20"/>
        </w:rPr>
        <w:t>or the imposition of high tariffs on Russia-friendly countries such as China</w:t>
      </w:r>
      <w:r w:rsidR="00B1128D" w:rsidRPr="001C0037">
        <w:rPr>
          <w:sz w:val="20"/>
          <w:szCs w:val="20"/>
        </w:rPr>
        <w:t xml:space="preserve">. </w:t>
      </w:r>
      <w:r w:rsidR="000F6FF5" w:rsidRPr="001C0037">
        <w:rPr>
          <w:sz w:val="20"/>
          <w:szCs w:val="20"/>
        </w:rPr>
        <w:t xml:space="preserve">EU Commission President </w:t>
      </w:r>
      <w:r w:rsidR="00EC1E81" w:rsidRPr="001C0037">
        <w:rPr>
          <w:sz w:val="20"/>
          <w:szCs w:val="20"/>
        </w:rPr>
        <w:t xml:space="preserve">von der Leyen recently spoke only of accelerating the phase-out of Russian fossil fuel imports and </w:t>
      </w:r>
      <w:r w:rsidR="00694FFA" w:rsidRPr="001C0037">
        <w:rPr>
          <w:sz w:val="20"/>
          <w:szCs w:val="20"/>
        </w:rPr>
        <w:t>(</w:t>
      </w:r>
      <w:r w:rsidR="00EC1E81" w:rsidRPr="001C0037">
        <w:rPr>
          <w:sz w:val="20"/>
          <w:szCs w:val="20"/>
        </w:rPr>
        <w:t xml:space="preserve">once again) focused the 19th package of sanctions </w:t>
      </w:r>
      <w:r w:rsidR="00694FFA" w:rsidRPr="001C0037">
        <w:rPr>
          <w:sz w:val="20"/>
          <w:szCs w:val="20"/>
        </w:rPr>
        <w:t xml:space="preserve">on the banking sector in addition to the energy sector, as well as on preventing the use of cryptocurrencies to circumvent sanctions. </w:t>
      </w:r>
      <w:r w:rsidR="00E43807" w:rsidRPr="001C0037">
        <w:rPr>
          <w:sz w:val="20"/>
          <w:szCs w:val="20"/>
        </w:rPr>
        <w:t xml:space="preserve">However, as the 18th package of sanctions has shown, this should not obscure the fact that importing and exporting trading companies may also be affected by the new measures, even if the media </w:t>
      </w:r>
      <w:r w:rsidR="00C262BF" w:rsidRPr="001C0037">
        <w:rPr>
          <w:sz w:val="20"/>
          <w:szCs w:val="20"/>
        </w:rPr>
        <w:t>tends to focus more on the energy and financial sectors.</w:t>
      </w:r>
    </w:p>
    <w:bookmarkEnd w:id="0"/>
    <w:sectPr w:rsidR="005E2DE1" w:rsidRPr="001C0037" w:rsidSect="00381C39">
      <w:headerReference w:type="even" r:id="rId7"/>
      <w:headerReference w:type="default" r:id="rId8"/>
      <w:footerReference w:type="even" r:id="rId9"/>
      <w:footerReference w:type="default" r:id="rId10"/>
      <w:headerReference w:type="first" r:id="rId11"/>
      <w:footerReference w:type="first" r:id="rId12"/>
      <w:pgSz w:w="11907" w:h="16840" w:code="9"/>
      <w:pgMar w:top="1440" w:right="1021" w:bottom="1440" w:left="14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1F83" w14:textId="77777777" w:rsidR="00381C39" w:rsidRDefault="00381C39">
      <w:r>
        <w:separator/>
      </w:r>
    </w:p>
    <w:p w14:paraId="1DD4A46E" w14:textId="77777777" w:rsidR="00381C39" w:rsidRDefault="00381C39"/>
  </w:endnote>
  <w:endnote w:type="continuationSeparator" w:id="0">
    <w:p w14:paraId="1315BF2F" w14:textId="77777777" w:rsidR="00381C39" w:rsidRDefault="00381C39">
      <w:r>
        <w:continuationSeparator/>
      </w:r>
    </w:p>
    <w:p w14:paraId="44542D64" w14:textId="77777777" w:rsidR="00381C39" w:rsidRDefault="0038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55A1" w14:textId="77777777" w:rsidR="002F4099" w:rsidRDefault="002F40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96BE" w14:textId="77777777" w:rsidR="002F4099" w:rsidRDefault="002F40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C9A" w14:textId="77777777" w:rsidR="002F4099" w:rsidRDefault="002F40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C566" w14:textId="77777777" w:rsidR="00381C39" w:rsidRDefault="00381C39">
      <w:r>
        <w:separator/>
      </w:r>
    </w:p>
    <w:p w14:paraId="6067CF04" w14:textId="77777777" w:rsidR="00381C39" w:rsidRDefault="00381C39"/>
  </w:footnote>
  <w:footnote w:type="continuationSeparator" w:id="0">
    <w:p w14:paraId="378078F7" w14:textId="77777777" w:rsidR="00381C39" w:rsidRDefault="00381C39">
      <w:r>
        <w:continuationSeparator/>
      </w:r>
    </w:p>
    <w:p w14:paraId="56AD7A5D" w14:textId="77777777" w:rsidR="00381C39" w:rsidRDefault="0038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323D" w14:textId="77777777" w:rsidR="002F4099" w:rsidRDefault="002F40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A11F" w14:textId="77777777" w:rsidR="002F4099" w:rsidRDefault="002F40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B2C4" w14:textId="77777777" w:rsidR="002F4099" w:rsidRDefault="002F4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23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984364"/>
    <w:lvl w:ilvl="0">
      <w:start w:val="1"/>
      <w:numFmt w:val="lowerRoman"/>
      <w:pStyle w:val="Listennummer4"/>
      <w:lvlText w:val="(%1)"/>
      <w:lvlJc w:val="left"/>
      <w:pPr>
        <w:tabs>
          <w:tab w:val="num" w:pos="1418"/>
        </w:tabs>
        <w:ind w:left="1418" w:hanging="738"/>
      </w:pPr>
      <w:rPr>
        <w:rFonts w:ascii="Arial" w:hAnsi="Arial" w:cs="Arial" w:hint="default"/>
        <w:b w:val="0"/>
        <w:i w:val="0"/>
        <w:color w:val="auto"/>
        <w:sz w:val="22"/>
        <w:szCs w:val="22"/>
      </w:rPr>
    </w:lvl>
  </w:abstractNum>
  <w:abstractNum w:abstractNumId="2" w15:restartNumberingAfterBreak="0">
    <w:nsid w:val="FFFFFF7E"/>
    <w:multiLevelType w:val="singleLevel"/>
    <w:tmpl w:val="8424FA18"/>
    <w:lvl w:ilvl="0">
      <w:start w:val="1"/>
      <w:numFmt w:val="lowerLetter"/>
      <w:pStyle w:val="Listennummer3"/>
      <w:lvlText w:val="(%1)"/>
      <w:lvlJc w:val="left"/>
      <w:pPr>
        <w:tabs>
          <w:tab w:val="num" w:pos="1418"/>
        </w:tabs>
        <w:ind w:left="1418" w:hanging="738"/>
      </w:pPr>
      <w:rPr>
        <w:rFonts w:ascii="Arial" w:hAnsi="Arial" w:cs="Arial" w:hint="default"/>
        <w:b w:val="0"/>
        <w:i w:val="0"/>
        <w:color w:val="auto"/>
        <w:sz w:val="22"/>
        <w:szCs w:val="22"/>
      </w:rPr>
    </w:lvl>
  </w:abstractNum>
  <w:abstractNum w:abstractNumId="3" w15:restartNumberingAfterBreak="0">
    <w:nsid w:val="FFFFFF7F"/>
    <w:multiLevelType w:val="singleLevel"/>
    <w:tmpl w:val="295040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A82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7A4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969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56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CEAFBA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B12B34"/>
    <w:multiLevelType w:val="hybridMultilevel"/>
    <w:tmpl w:val="395261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3F0372F"/>
    <w:multiLevelType w:val="hybridMultilevel"/>
    <w:tmpl w:val="AF586AA4"/>
    <w:lvl w:ilvl="0" w:tplc="82DA4EDA">
      <w:start w:val="1"/>
      <w:numFmt w:val="bullet"/>
      <w:pStyle w:val="bullet1"/>
      <w:lvlText w:val=""/>
      <w:lvlJc w:val="left"/>
      <w:pPr>
        <w:tabs>
          <w:tab w:val="num" w:pos="567"/>
        </w:tabs>
        <w:ind w:left="567" w:hanging="567"/>
      </w:pPr>
      <w:rPr>
        <w:rFonts w:ascii="Symbol" w:hAnsi="Symbol" w:hint="default"/>
        <w:i w:val="0"/>
        <w:color w:val="auto"/>
        <w:sz w:val="22"/>
        <w:szCs w:val="24"/>
      </w:rPr>
    </w:lvl>
    <w:lvl w:ilvl="1" w:tplc="79564A80" w:tentative="1">
      <w:start w:val="1"/>
      <w:numFmt w:val="lowerLetter"/>
      <w:lvlText w:val="%2."/>
      <w:lvlJc w:val="left"/>
      <w:pPr>
        <w:tabs>
          <w:tab w:val="num" w:pos="1440"/>
        </w:tabs>
        <w:ind w:left="1440" w:hanging="360"/>
      </w:pPr>
    </w:lvl>
    <w:lvl w:ilvl="2" w:tplc="70804EA0" w:tentative="1">
      <w:start w:val="1"/>
      <w:numFmt w:val="lowerRoman"/>
      <w:lvlText w:val="%3."/>
      <w:lvlJc w:val="right"/>
      <w:pPr>
        <w:tabs>
          <w:tab w:val="num" w:pos="2160"/>
        </w:tabs>
        <w:ind w:left="2160" w:hanging="180"/>
      </w:pPr>
    </w:lvl>
    <w:lvl w:ilvl="3" w:tplc="B998A4A0" w:tentative="1">
      <w:start w:val="1"/>
      <w:numFmt w:val="decimal"/>
      <w:lvlText w:val="%4."/>
      <w:lvlJc w:val="left"/>
      <w:pPr>
        <w:tabs>
          <w:tab w:val="num" w:pos="2880"/>
        </w:tabs>
        <w:ind w:left="2880" w:hanging="360"/>
      </w:pPr>
    </w:lvl>
    <w:lvl w:ilvl="4" w:tplc="23EA0B5E" w:tentative="1">
      <w:start w:val="1"/>
      <w:numFmt w:val="lowerLetter"/>
      <w:lvlText w:val="%5."/>
      <w:lvlJc w:val="left"/>
      <w:pPr>
        <w:tabs>
          <w:tab w:val="num" w:pos="3600"/>
        </w:tabs>
        <w:ind w:left="3600" w:hanging="360"/>
      </w:pPr>
    </w:lvl>
    <w:lvl w:ilvl="5" w:tplc="80DE3F3A" w:tentative="1">
      <w:start w:val="1"/>
      <w:numFmt w:val="lowerRoman"/>
      <w:lvlText w:val="%6."/>
      <w:lvlJc w:val="right"/>
      <w:pPr>
        <w:tabs>
          <w:tab w:val="num" w:pos="4320"/>
        </w:tabs>
        <w:ind w:left="4320" w:hanging="180"/>
      </w:pPr>
    </w:lvl>
    <w:lvl w:ilvl="6" w:tplc="FF38A2C0" w:tentative="1">
      <w:start w:val="1"/>
      <w:numFmt w:val="decimal"/>
      <w:lvlText w:val="%7."/>
      <w:lvlJc w:val="left"/>
      <w:pPr>
        <w:tabs>
          <w:tab w:val="num" w:pos="5040"/>
        </w:tabs>
        <w:ind w:left="5040" w:hanging="360"/>
      </w:pPr>
    </w:lvl>
    <w:lvl w:ilvl="7" w:tplc="0B9CB630" w:tentative="1">
      <w:start w:val="1"/>
      <w:numFmt w:val="lowerLetter"/>
      <w:lvlText w:val="%8."/>
      <w:lvlJc w:val="left"/>
      <w:pPr>
        <w:tabs>
          <w:tab w:val="num" w:pos="5760"/>
        </w:tabs>
        <w:ind w:left="5760" w:hanging="360"/>
      </w:pPr>
    </w:lvl>
    <w:lvl w:ilvl="8" w:tplc="C3AAE1D0" w:tentative="1">
      <w:start w:val="1"/>
      <w:numFmt w:val="lowerRoman"/>
      <w:lvlText w:val="%9."/>
      <w:lvlJc w:val="right"/>
      <w:pPr>
        <w:tabs>
          <w:tab w:val="num" w:pos="6480"/>
        </w:tabs>
        <w:ind w:left="6480" w:hanging="180"/>
      </w:pPr>
    </w:lvl>
  </w:abstractNum>
  <w:abstractNum w:abstractNumId="11" w15:restartNumberingAfterBreak="0">
    <w:nsid w:val="09A646C7"/>
    <w:multiLevelType w:val="hybridMultilevel"/>
    <w:tmpl w:val="08B699A0"/>
    <w:lvl w:ilvl="0" w:tplc="EBACD12E">
      <w:start w:val="1"/>
      <w:numFmt w:val="bullet"/>
      <w:pStyle w:val="bullet3"/>
      <w:lvlText w:val=""/>
      <w:lvlJc w:val="left"/>
      <w:pPr>
        <w:tabs>
          <w:tab w:val="num" w:pos="1701"/>
        </w:tabs>
        <w:ind w:left="1701" w:hanging="567"/>
      </w:pPr>
      <w:rPr>
        <w:rFonts w:ascii="Symbol" w:hAnsi="Symbol" w:hint="default"/>
        <w:i w:val="0"/>
        <w:color w:val="auto"/>
        <w:sz w:val="22"/>
        <w:szCs w:val="24"/>
      </w:rPr>
    </w:lvl>
    <w:lvl w:ilvl="1" w:tplc="7196E7F4" w:tentative="1">
      <w:start w:val="1"/>
      <w:numFmt w:val="bullet"/>
      <w:lvlText w:val="o"/>
      <w:lvlJc w:val="left"/>
      <w:pPr>
        <w:tabs>
          <w:tab w:val="num" w:pos="1440"/>
        </w:tabs>
        <w:ind w:left="1440" w:hanging="360"/>
      </w:pPr>
      <w:rPr>
        <w:rFonts w:ascii="Courier New" w:hAnsi="Courier New" w:cs="Courier New" w:hint="default"/>
      </w:rPr>
    </w:lvl>
    <w:lvl w:ilvl="2" w:tplc="F77E5EA8" w:tentative="1">
      <w:start w:val="1"/>
      <w:numFmt w:val="bullet"/>
      <w:lvlText w:val=""/>
      <w:lvlJc w:val="left"/>
      <w:pPr>
        <w:tabs>
          <w:tab w:val="num" w:pos="2160"/>
        </w:tabs>
        <w:ind w:left="2160" w:hanging="360"/>
      </w:pPr>
      <w:rPr>
        <w:rFonts w:ascii="Wingdings" w:hAnsi="Wingdings" w:hint="default"/>
      </w:rPr>
    </w:lvl>
    <w:lvl w:ilvl="3" w:tplc="D856E3AA" w:tentative="1">
      <w:start w:val="1"/>
      <w:numFmt w:val="bullet"/>
      <w:lvlText w:val=""/>
      <w:lvlJc w:val="left"/>
      <w:pPr>
        <w:tabs>
          <w:tab w:val="num" w:pos="2880"/>
        </w:tabs>
        <w:ind w:left="2880" w:hanging="360"/>
      </w:pPr>
      <w:rPr>
        <w:rFonts w:ascii="Symbol" w:hAnsi="Symbol" w:hint="default"/>
      </w:rPr>
    </w:lvl>
    <w:lvl w:ilvl="4" w:tplc="B658F31A" w:tentative="1">
      <w:start w:val="1"/>
      <w:numFmt w:val="bullet"/>
      <w:lvlText w:val="o"/>
      <w:lvlJc w:val="left"/>
      <w:pPr>
        <w:tabs>
          <w:tab w:val="num" w:pos="3600"/>
        </w:tabs>
        <w:ind w:left="3600" w:hanging="360"/>
      </w:pPr>
      <w:rPr>
        <w:rFonts w:ascii="Courier New" w:hAnsi="Courier New" w:cs="Courier New" w:hint="default"/>
      </w:rPr>
    </w:lvl>
    <w:lvl w:ilvl="5" w:tplc="D47E9E9A" w:tentative="1">
      <w:start w:val="1"/>
      <w:numFmt w:val="bullet"/>
      <w:lvlText w:val=""/>
      <w:lvlJc w:val="left"/>
      <w:pPr>
        <w:tabs>
          <w:tab w:val="num" w:pos="4320"/>
        </w:tabs>
        <w:ind w:left="4320" w:hanging="360"/>
      </w:pPr>
      <w:rPr>
        <w:rFonts w:ascii="Wingdings" w:hAnsi="Wingdings" w:hint="default"/>
      </w:rPr>
    </w:lvl>
    <w:lvl w:ilvl="6" w:tplc="08BA26F8" w:tentative="1">
      <w:start w:val="1"/>
      <w:numFmt w:val="bullet"/>
      <w:lvlText w:val=""/>
      <w:lvlJc w:val="left"/>
      <w:pPr>
        <w:tabs>
          <w:tab w:val="num" w:pos="5040"/>
        </w:tabs>
        <w:ind w:left="5040" w:hanging="360"/>
      </w:pPr>
      <w:rPr>
        <w:rFonts w:ascii="Symbol" w:hAnsi="Symbol" w:hint="default"/>
      </w:rPr>
    </w:lvl>
    <w:lvl w:ilvl="7" w:tplc="57500D94" w:tentative="1">
      <w:start w:val="1"/>
      <w:numFmt w:val="bullet"/>
      <w:lvlText w:val="o"/>
      <w:lvlJc w:val="left"/>
      <w:pPr>
        <w:tabs>
          <w:tab w:val="num" w:pos="5760"/>
        </w:tabs>
        <w:ind w:left="5760" w:hanging="360"/>
      </w:pPr>
      <w:rPr>
        <w:rFonts w:ascii="Courier New" w:hAnsi="Courier New" w:cs="Courier New" w:hint="default"/>
      </w:rPr>
    </w:lvl>
    <w:lvl w:ilvl="8" w:tplc="4E92C0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4A093E"/>
    <w:multiLevelType w:val="multilevel"/>
    <w:tmpl w:val="002E32C6"/>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15F21C6"/>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14" w15:restartNumberingAfterBreak="0">
    <w:nsid w:val="142F1209"/>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15" w15:restartNumberingAfterBreak="0">
    <w:nsid w:val="20146531"/>
    <w:multiLevelType w:val="hybridMultilevel"/>
    <w:tmpl w:val="9EA803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242CD1"/>
    <w:multiLevelType w:val="multilevel"/>
    <w:tmpl w:val="6AD8492C"/>
    <w:lvl w:ilvl="0">
      <w:start w:val="1"/>
      <w:numFmt w:val="decimal"/>
      <w:lvlText w:val="%1."/>
      <w:lvlJc w:val="left"/>
      <w:pPr>
        <w:tabs>
          <w:tab w:val="num" w:pos="567"/>
        </w:tabs>
        <w:ind w:left="567" w:hanging="567"/>
      </w:pPr>
      <w:rPr>
        <w:rFonts w:hint="default"/>
        <w:b w:val="0"/>
        <w:i w:val="0"/>
        <w:color w:val="auto"/>
        <w:sz w:val="22"/>
        <w:szCs w:val="22"/>
      </w:rPr>
    </w:lvl>
    <w:lvl w:ilvl="1">
      <w:start w:val="2"/>
      <w:numFmt w:val="decimal"/>
      <w:lvlText w:val="%1.%2."/>
      <w:lvlJc w:val="left"/>
      <w:pPr>
        <w:tabs>
          <w:tab w:val="num" w:pos="1359"/>
        </w:tabs>
        <w:ind w:left="1359" w:hanging="432"/>
      </w:pPr>
      <w:rPr>
        <w:rFonts w:hint="default"/>
      </w:rPr>
    </w:lvl>
    <w:lvl w:ilvl="2">
      <w:start w:val="1"/>
      <w:numFmt w:val="decimal"/>
      <w:isLgl/>
      <w:lvlText w:val="%1.%2.%3."/>
      <w:lvlJc w:val="left"/>
      <w:pPr>
        <w:tabs>
          <w:tab w:val="num" w:pos="1701"/>
        </w:tabs>
        <w:ind w:left="1701" w:hanging="567"/>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7" w15:restartNumberingAfterBreak="0">
    <w:nsid w:val="315A7826"/>
    <w:multiLevelType w:val="multilevel"/>
    <w:tmpl w:val="F3A0D3E2"/>
    <w:lvl w:ilvl="0">
      <w:start w:val="1"/>
      <w:numFmt w:val="decimal"/>
      <w:pStyle w:val="berschrift1"/>
      <w:lvlText w:val="%1."/>
      <w:lvlJc w:val="left"/>
      <w:pPr>
        <w:ind w:left="567" w:hanging="567"/>
      </w:pPr>
      <w:rPr>
        <w:rFonts w:hint="default"/>
        <w:b w:val="0"/>
        <w:i w:val="0"/>
        <w:color w:val="auto"/>
      </w:rPr>
    </w:lvl>
    <w:lvl w:ilvl="1">
      <w:start w:val="1"/>
      <w:numFmt w:val="decimal"/>
      <w:pStyle w:val="berschrift2"/>
      <w:lvlText w:val="%1.%2"/>
      <w:lvlJc w:val="left"/>
      <w:pPr>
        <w:ind w:left="1134" w:hanging="567"/>
      </w:pPr>
      <w:rPr>
        <w:rFonts w:hint="default"/>
        <w:b w:val="0"/>
        <w:i w:val="0"/>
        <w:color w:val="auto"/>
      </w:rPr>
    </w:lvl>
    <w:lvl w:ilvl="2">
      <w:start w:val="1"/>
      <w:numFmt w:val="decimal"/>
      <w:pStyle w:val="berschrift3"/>
      <w:lvlText w:val="%1.%2.%3"/>
      <w:lvlJc w:val="left"/>
      <w:pPr>
        <w:ind w:left="1701" w:hanging="567"/>
      </w:pPr>
      <w:rPr>
        <w:rFonts w:hint="default"/>
        <w:b w:val="0"/>
        <w:i w:val="0"/>
      </w:rPr>
    </w:lvl>
    <w:lvl w:ilvl="3">
      <w:start w:val="1"/>
      <w:numFmt w:val="decimal"/>
      <w:pStyle w:val="berschrift4"/>
      <w:lvlText w:val="%1.%2.%3.%4"/>
      <w:lvlJc w:val="left"/>
      <w:pPr>
        <w:ind w:left="2552" w:hanging="851"/>
      </w:pPr>
      <w:rPr>
        <w:rFonts w:hint="default"/>
      </w:rPr>
    </w:lvl>
    <w:lvl w:ilvl="4">
      <w:start w:val="1"/>
      <w:numFmt w:val="decimal"/>
      <w:pStyle w:val="berschrift5"/>
      <w:lvlText w:val="%1.%2.%3.%4.%5"/>
      <w:lvlJc w:val="left"/>
      <w:pPr>
        <w:ind w:left="3119" w:hanging="851"/>
      </w:pPr>
      <w:rPr>
        <w:rFonts w:hint="default"/>
      </w:rPr>
    </w:lvl>
    <w:lvl w:ilvl="5">
      <w:start w:val="1"/>
      <w:numFmt w:val="decimal"/>
      <w:pStyle w:val="berschrift6"/>
      <w:lvlText w:val="%1.%2.%3.%4.%5.%6"/>
      <w:lvlJc w:val="left"/>
      <w:pPr>
        <w:ind w:left="3969" w:hanging="1134"/>
      </w:pPr>
      <w:rPr>
        <w:rFonts w:hint="default"/>
        <w:sz w:val="22"/>
      </w:rPr>
    </w:lvl>
    <w:lvl w:ilvl="6">
      <w:start w:val="1"/>
      <w:numFmt w:val="decimal"/>
      <w:pStyle w:val="berschrift7"/>
      <w:lvlText w:val="%1.%2.%3.%4.%5.%6.%7"/>
      <w:lvlJc w:val="left"/>
      <w:pPr>
        <w:ind w:left="5103" w:hanging="1701"/>
      </w:pPr>
      <w:rPr>
        <w:rFonts w:hint="default"/>
      </w:rPr>
    </w:lvl>
    <w:lvl w:ilvl="7">
      <w:start w:val="1"/>
      <w:numFmt w:val="decimal"/>
      <w:pStyle w:val="berschrift8"/>
      <w:lvlText w:val="%1.%2.%3.%4.%5.%6.%7.%8"/>
      <w:lvlJc w:val="left"/>
      <w:pPr>
        <w:ind w:left="5670" w:hanging="1701"/>
      </w:pPr>
      <w:rPr>
        <w:rFonts w:hint="default"/>
        <w:color w:val="auto"/>
      </w:rPr>
    </w:lvl>
    <w:lvl w:ilvl="8">
      <w:start w:val="1"/>
      <w:numFmt w:val="decimal"/>
      <w:pStyle w:val="berschrift9"/>
      <w:lvlText w:val="%1.%2.%3.%4.%5.%6.%7.%8.%9"/>
      <w:lvlJc w:val="left"/>
      <w:pPr>
        <w:ind w:left="6237" w:hanging="1701"/>
      </w:pPr>
      <w:rPr>
        <w:rFonts w:hint="default"/>
        <w:color w:val="auto"/>
      </w:rPr>
    </w:lvl>
  </w:abstractNum>
  <w:abstractNum w:abstractNumId="18" w15:restartNumberingAfterBreak="0">
    <w:nsid w:val="3CDB5EC5"/>
    <w:multiLevelType w:val="hybridMultilevel"/>
    <w:tmpl w:val="B5724FE8"/>
    <w:lvl w:ilvl="0" w:tplc="46802732">
      <w:start w:val="1"/>
      <w:numFmt w:val="decimal"/>
      <w:lvlText w:val="1.%1"/>
      <w:lvlJc w:val="left"/>
      <w:pPr>
        <w:tabs>
          <w:tab w:val="num" w:pos="1418"/>
        </w:tabs>
        <w:ind w:left="1418" w:hanging="851"/>
      </w:pPr>
      <w:rPr>
        <w:rFonts w:ascii="Arial" w:hAnsi="Arial" w:cs="Arial"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3675CE"/>
    <w:multiLevelType w:val="hybridMultilevel"/>
    <w:tmpl w:val="F1B671F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E23B60"/>
    <w:multiLevelType w:val="hybridMultilevel"/>
    <w:tmpl w:val="25EE82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2DF2E96"/>
    <w:multiLevelType w:val="multilevel"/>
    <w:tmpl w:val="1E5E3F78"/>
    <w:lvl w:ilvl="0">
      <w:start w:val="1"/>
      <w:numFmt w:val="decimal"/>
      <w:lvlText w:val="%1."/>
      <w:lvlJc w:val="left"/>
      <w:pPr>
        <w:ind w:left="567" w:hanging="567"/>
      </w:pPr>
      <w:rPr>
        <w:rFonts w:hint="default"/>
        <w:b w:val="0"/>
        <w:i w:val="0"/>
      </w:rPr>
    </w:lvl>
    <w:lvl w:ilvl="1">
      <w:start w:val="1"/>
      <w:numFmt w:val="decimal"/>
      <w:lvlText w:val="%1.%2"/>
      <w:lvlJc w:val="left"/>
      <w:pPr>
        <w:ind w:left="1134" w:hanging="567"/>
      </w:pPr>
      <w:rPr>
        <w:rFonts w:hint="default"/>
        <w:b w:val="0"/>
        <w:i w:val="0"/>
        <w:color w:val="auto"/>
      </w:rPr>
    </w:lvl>
    <w:lvl w:ilvl="2">
      <w:start w:val="1"/>
      <w:numFmt w:val="decimal"/>
      <w:lvlText w:val="%1.%2.%3"/>
      <w:lvlJc w:val="left"/>
      <w:pPr>
        <w:ind w:left="1701" w:hanging="567"/>
      </w:pPr>
      <w:rPr>
        <w:rFonts w:hint="default"/>
        <w:b w:val="0"/>
        <w:i w:val="0"/>
      </w:rPr>
    </w:lvl>
    <w:lvl w:ilvl="3">
      <w:start w:val="1"/>
      <w:numFmt w:val="decimal"/>
      <w:lvlText w:val="%1.%2.%3.%4"/>
      <w:lvlJc w:val="left"/>
      <w:pPr>
        <w:ind w:left="2268" w:hanging="567"/>
      </w:pPr>
      <w:rPr>
        <w:rFonts w:hint="default"/>
      </w:rPr>
    </w:lvl>
    <w:lvl w:ilvl="4">
      <w:start w:val="1"/>
      <w:numFmt w:val="decimal"/>
      <w:lvlText w:val="%1.%2.%3.%4.%5"/>
      <w:lvlJc w:val="left"/>
      <w:pPr>
        <w:ind w:left="3402" w:hanging="1134"/>
      </w:pPr>
      <w:rPr>
        <w:rFonts w:hint="default"/>
      </w:rPr>
    </w:lvl>
    <w:lvl w:ilvl="5">
      <w:start w:val="1"/>
      <w:numFmt w:val="decimal"/>
      <w:lvlText w:val="%1.%2.%3.%4.%5.%6"/>
      <w:lvlJc w:val="left"/>
      <w:pPr>
        <w:ind w:left="3969" w:hanging="1134"/>
      </w:pPr>
      <w:rPr>
        <w:rFonts w:hint="default"/>
      </w:rPr>
    </w:lvl>
    <w:lvl w:ilvl="6">
      <w:start w:val="1"/>
      <w:numFmt w:val="decimal"/>
      <w:lvlText w:val="%1.%2.%3.%4.%5.%6.%7"/>
      <w:lvlJc w:val="left"/>
      <w:pPr>
        <w:ind w:left="4536" w:hanging="1134"/>
      </w:pPr>
      <w:rPr>
        <w:rFonts w:hint="default"/>
      </w:rPr>
    </w:lvl>
    <w:lvl w:ilvl="7">
      <w:start w:val="1"/>
      <w:numFmt w:val="decimal"/>
      <w:lvlText w:val="%1.%2.%3.%4.%5.%6.%7.%8"/>
      <w:lvlJc w:val="left"/>
      <w:pPr>
        <w:ind w:left="5103" w:hanging="1134"/>
      </w:pPr>
      <w:rPr>
        <w:rFonts w:hint="default"/>
        <w:color w:val="auto"/>
      </w:rPr>
    </w:lvl>
    <w:lvl w:ilvl="8">
      <w:start w:val="1"/>
      <w:numFmt w:val="decimal"/>
      <w:lvlText w:val="%1.%2.%3.%4.%5.%6.%7.%8.%9"/>
      <w:lvlJc w:val="left"/>
      <w:pPr>
        <w:ind w:left="5670" w:hanging="1134"/>
      </w:pPr>
      <w:rPr>
        <w:rFonts w:hint="default"/>
        <w:color w:val="auto"/>
      </w:rPr>
    </w:lvl>
  </w:abstractNum>
  <w:abstractNum w:abstractNumId="22" w15:restartNumberingAfterBreak="0">
    <w:nsid w:val="591C5292"/>
    <w:multiLevelType w:val="multilevel"/>
    <w:tmpl w:val="4DA4FCA2"/>
    <w:lvl w:ilvl="0">
      <w:start w:val="1"/>
      <w:numFmt w:val="decimal"/>
      <w:pStyle w:val="Listennummer"/>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94"/>
        </w:tabs>
        <w:ind w:left="-394" w:hanging="1080"/>
      </w:pPr>
      <w:rPr>
        <w:rFonts w:hint="default"/>
      </w:rPr>
    </w:lvl>
    <w:lvl w:ilvl="5">
      <w:start w:val="1"/>
      <w:numFmt w:val="decimal"/>
      <w:lvlText w:val="%1.%2.%3.%4.%5.%6"/>
      <w:lvlJc w:val="left"/>
      <w:pPr>
        <w:tabs>
          <w:tab w:val="num" w:pos="-394"/>
        </w:tabs>
        <w:ind w:left="-394" w:hanging="1080"/>
      </w:pPr>
      <w:rPr>
        <w:rFonts w:hint="default"/>
      </w:rPr>
    </w:lvl>
    <w:lvl w:ilvl="6">
      <w:start w:val="1"/>
      <w:numFmt w:val="decimal"/>
      <w:lvlText w:val="%1.%2.%3.%4.%5.%6.%7"/>
      <w:lvlJc w:val="left"/>
      <w:pPr>
        <w:tabs>
          <w:tab w:val="num" w:pos="-34"/>
        </w:tabs>
        <w:ind w:left="-34" w:hanging="1440"/>
      </w:pPr>
      <w:rPr>
        <w:rFonts w:hint="default"/>
      </w:rPr>
    </w:lvl>
    <w:lvl w:ilvl="7">
      <w:start w:val="1"/>
      <w:numFmt w:val="decimal"/>
      <w:lvlText w:val="%1.%2.%3.%4.%5.%6.%7.%8"/>
      <w:lvlJc w:val="left"/>
      <w:pPr>
        <w:tabs>
          <w:tab w:val="num" w:pos="-34"/>
        </w:tabs>
        <w:ind w:left="-34" w:hanging="1440"/>
      </w:pPr>
      <w:rPr>
        <w:rFonts w:hint="default"/>
      </w:rPr>
    </w:lvl>
    <w:lvl w:ilvl="8">
      <w:start w:val="1"/>
      <w:numFmt w:val="decimal"/>
      <w:lvlText w:val="%1.%2.%3.%4.%5.%6.%7.%8.%9"/>
      <w:lvlJc w:val="left"/>
      <w:pPr>
        <w:tabs>
          <w:tab w:val="num" w:pos="326"/>
        </w:tabs>
        <w:ind w:left="326" w:hanging="1800"/>
      </w:pPr>
      <w:rPr>
        <w:rFonts w:hint="default"/>
      </w:rPr>
    </w:lvl>
  </w:abstractNum>
  <w:abstractNum w:abstractNumId="23" w15:restartNumberingAfterBreak="0">
    <w:nsid w:val="60881944"/>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24" w15:restartNumberingAfterBreak="0">
    <w:nsid w:val="72197497"/>
    <w:multiLevelType w:val="multilevel"/>
    <w:tmpl w:val="81FAE6D2"/>
    <w:lvl w:ilvl="0">
      <w:start w:val="1"/>
      <w:numFmt w:val="decimal"/>
      <w:lvlText w:val="%1."/>
      <w:lvlJc w:val="left"/>
      <w:pPr>
        <w:tabs>
          <w:tab w:val="num" w:pos="567"/>
        </w:tabs>
        <w:ind w:left="567" w:hanging="567"/>
      </w:pPr>
      <w:rPr>
        <w:rFonts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34"/>
        </w:tabs>
        <w:ind w:left="-34" w:hanging="1080"/>
      </w:pPr>
      <w:rPr>
        <w:rFonts w:hint="default"/>
      </w:rPr>
    </w:lvl>
    <w:lvl w:ilvl="5">
      <w:start w:val="1"/>
      <w:numFmt w:val="decimal"/>
      <w:lvlText w:val="%1.%2.%3.%4.%5.%6"/>
      <w:lvlJc w:val="left"/>
      <w:pPr>
        <w:tabs>
          <w:tab w:val="num" w:pos="-34"/>
        </w:tabs>
        <w:ind w:left="-34" w:hanging="1080"/>
      </w:pPr>
      <w:rPr>
        <w:rFonts w:hint="default"/>
      </w:rPr>
    </w:lvl>
    <w:lvl w:ilvl="6">
      <w:start w:val="1"/>
      <w:numFmt w:val="decimal"/>
      <w:lvlText w:val="%1.%2.%3.%4.%5.%6.%7"/>
      <w:lvlJc w:val="left"/>
      <w:pPr>
        <w:tabs>
          <w:tab w:val="num" w:pos="326"/>
        </w:tabs>
        <w:ind w:left="326" w:hanging="1440"/>
      </w:pPr>
      <w:rPr>
        <w:rFonts w:hint="default"/>
      </w:rPr>
    </w:lvl>
    <w:lvl w:ilvl="7">
      <w:start w:val="1"/>
      <w:numFmt w:val="decimal"/>
      <w:lvlText w:val="%1.%2.%3.%4.%5.%6.%7.%8"/>
      <w:lvlJc w:val="left"/>
      <w:pPr>
        <w:tabs>
          <w:tab w:val="num" w:pos="326"/>
        </w:tabs>
        <w:ind w:left="326" w:hanging="1440"/>
      </w:pPr>
      <w:rPr>
        <w:rFonts w:hint="default"/>
      </w:rPr>
    </w:lvl>
    <w:lvl w:ilvl="8">
      <w:start w:val="1"/>
      <w:numFmt w:val="decimal"/>
      <w:lvlText w:val="%1.%2.%3.%4.%5.%6.%7.%8.%9"/>
      <w:lvlJc w:val="left"/>
      <w:pPr>
        <w:tabs>
          <w:tab w:val="num" w:pos="686"/>
        </w:tabs>
        <w:ind w:left="686" w:hanging="1800"/>
      </w:pPr>
      <w:rPr>
        <w:rFonts w:hint="default"/>
      </w:rPr>
    </w:lvl>
  </w:abstractNum>
  <w:abstractNum w:abstractNumId="25" w15:restartNumberingAfterBreak="0">
    <w:nsid w:val="78B34D5E"/>
    <w:multiLevelType w:val="multilevel"/>
    <w:tmpl w:val="EC96C37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7CD13A25"/>
    <w:multiLevelType w:val="hybridMultilevel"/>
    <w:tmpl w:val="08BC7A22"/>
    <w:lvl w:ilvl="0" w:tplc="8FA67D54">
      <w:start w:val="1"/>
      <w:numFmt w:val="lowerLetter"/>
      <w:lvlText w:val="(%1)"/>
      <w:lvlJc w:val="left"/>
      <w:pPr>
        <w:tabs>
          <w:tab w:val="num" w:pos="1418"/>
        </w:tabs>
        <w:ind w:left="1418" w:hanging="738"/>
      </w:pPr>
      <w:rPr>
        <w:rFonts w:ascii="Arial" w:hAnsi="Arial" w:cs="Arial" w:hint="default"/>
        <w:b w:val="0"/>
        <w:i w:val="0"/>
        <w:color w:val="auto"/>
        <w:sz w:val="22"/>
        <w:szCs w:val="22"/>
      </w:rPr>
    </w:lvl>
    <w:lvl w:ilvl="1" w:tplc="67860FAA" w:tentative="1">
      <w:start w:val="1"/>
      <w:numFmt w:val="lowerLetter"/>
      <w:lvlText w:val="%2."/>
      <w:lvlJc w:val="left"/>
      <w:pPr>
        <w:tabs>
          <w:tab w:val="num" w:pos="1440"/>
        </w:tabs>
        <w:ind w:left="1440" w:hanging="360"/>
      </w:pPr>
    </w:lvl>
    <w:lvl w:ilvl="2" w:tplc="4DA64EA0" w:tentative="1">
      <w:start w:val="1"/>
      <w:numFmt w:val="lowerRoman"/>
      <w:lvlText w:val="%3."/>
      <w:lvlJc w:val="right"/>
      <w:pPr>
        <w:tabs>
          <w:tab w:val="num" w:pos="2160"/>
        </w:tabs>
        <w:ind w:left="2160" w:hanging="180"/>
      </w:pPr>
    </w:lvl>
    <w:lvl w:ilvl="3" w:tplc="E9224A6E" w:tentative="1">
      <w:start w:val="1"/>
      <w:numFmt w:val="decimal"/>
      <w:lvlText w:val="%4."/>
      <w:lvlJc w:val="left"/>
      <w:pPr>
        <w:tabs>
          <w:tab w:val="num" w:pos="2880"/>
        </w:tabs>
        <w:ind w:left="2880" w:hanging="360"/>
      </w:pPr>
    </w:lvl>
    <w:lvl w:ilvl="4" w:tplc="C844698C" w:tentative="1">
      <w:start w:val="1"/>
      <w:numFmt w:val="lowerLetter"/>
      <w:lvlText w:val="%5."/>
      <w:lvlJc w:val="left"/>
      <w:pPr>
        <w:tabs>
          <w:tab w:val="num" w:pos="3600"/>
        </w:tabs>
        <w:ind w:left="3600" w:hanging="360"/>
      </w:pPr>
    </w:lvl>
    <w:lvl w:ilvl="5" w:tplc="B39C0CAC" w:tentative="1">
      <w:start w:val="1"/>
      <w:numFmt w:val="lowerRoman"/>
      <w:lvlText w:val="%6."/>
      <w:lvlJc w:val="right"/>
      <w:pPr>
        <w:tabs>
          <w:tab w:val="num" w:pos="4320"/>
        </w:tabs>
        <w:ind w:left="4320" w:hanging="180"/>
      </w:pPr>
    </w:lvl>
    <w:lvl w:ilvl="6" w:tplc="61324118" w:tentative="1">
      <w:start w:val="1"/>
      <w:numFmt w:val="decimal"/>
      <w:lvlText w:val="%7."/>
      <w:lvlJc w:val="left"/>
      <w:pPr>
        <w:tabs>
          <w:tab w:val="num" w:pos="5040"/>
        </w:tabs>
        <w:ind w:left="5040" w:hanging="360"/>
      </w:pPr>
    </w:lvl>
    <w:lvl w:ilvl="7" w:tplc="BA143AFE" w:tentative="1">
      <w:start w:val="1"/>
      <w:numFmt w:val="lowerLetter"/>
      <w:lvlText w:val="%8."/>
      <w:lvlJc w:val="left"/>
      <w:pPr>
        <w:tabs>
          <w:tab w:val="num" w:pos="5760"/>
        </w:tabs>
        <w:ind w:left="5760" w:hanging="360"/>
      </w:pPr>
    </w:lvl>
    <w:lvl w:ilvl="8" w:tplc="8F5A0742" w:tentative="1">
      <w:start w:val="1"/>
      <w:numFmt w:val="lowerRoman"/>
      <w:lvlText w:val="%9."/>
      <w:lvlJc w:val="right"/>
      <w:pPr>
        <w:tabs>
          <w:tab w:val="num" w:pos="6480"/>
        </w:tabs>
        <w:ind w:left="6480" w:hanging="180"/>
      </w:pPr>
    </w:lvl>
  </w:abstractNum>
  <w:abstractNum w:abstractNumId="27" w15:restartNumberingAfterBreak="0">
    <w:nsid w:val="7D5A3FFC"/>
    <w:multiLevelType w:val="hybridMultilevel"/>
    <w:tmpl w:val="83281570"/>
    <w:lvl w:ilvl="0" w:tplc="264456A8">
      <w:start w:val="1"/>
      <w:numFmt w:val="bullet"/>
      <w:pStyle w:val="bullet2"/>
      <w:lvlText w:val=""/>
      <w:lvlJc w:val="left"/>
      <w:pPr>
        <w:tabs>
          <w:tab w:val="num" w:pos="1134"/>
        </w:tabs>
        <w:ind w:left="1134" w:hanging="567"/>
      </w:pPr>
      <w:rPr>
        <w:rFonts w:ascii="Symbol" w:hAnsi="Symbol" w:hint="default"/>
        <w:i w:val="0"/>
        <w:color w:val="auto"/>
        <w:sz w:val="22"/>
        <w:szCs w:val="24"/>
      </w:rPr>
    </w:lvl>
    <w:lvl w:ilvl="1" w:tplc="D96EEF4A" w:tentative="1">
      <w:start w:val="1"/>
      <w:numFmt w:val="bullet"/>
      <w:lvlText w:val="o"/>
      <w:lvlJc w:val="left"/>
      <w:pPr>
        <w:tabs>
          <w:tab w:val="num" w:pos="1440"/>
        </w:tabs>
        <w:ind w:left="1440" w:hanging="360"/>
      </w:pPr>
      <w:rPr>
        <w:rFonts w:ascii="Courier New" w:hAnsi="Courier New" w:cs="Courier New" w:hint="default"/>
      </w:rPr>
    </w:lvl>
    <w:lvl w:ilvl="2" w:tplc="75FA61B8" w:tentative="1">
      <w:start w:val="1"/>
      <w:numFmt w:val="bullet"/>
      <w:lvlText w:val=""/>
      <w:lvlJc w:val="left"/>
      <w:pPr>
        <w:tabs>
          <w:tab w:val="num" w:pos="2160"/>
        </w:tabs>
        <w:ind w:left="2160" w:hanging="360"/>
      </w:pPr>
      <w:rPr>
        <w:rFonts w:ascii="Wingdings" w:hAnsi="Wingdings" w:hint="default"/>
      </w:rPr>
    </w:lvl>
    <w:lvl w:ilvl="3" w:tplc="25F8213E" w:tentative="1">
      <w:start w:val="1"/>
      <w:numFmt w:val="bullet"/>
      <w:lvlText w:val=""/>
      <w:lvlJc w:val="left"/>
      <w:pPr>
        <w:tabs>
          <w:tab w:val="num" w:pos="2880"/>
        </w:tabs>
        <w:ind w:left="2880" w:hanging="360"/>
      </w:pPr>
      <w:rPr>
        <w:rFonts w:ascii="Symbol" w:hAnsi="Symbol" w:hint="default"/>
      </w:rPr>
    </w:lvl>
    <w:lvl w:ilvl="4" w:tplc="D0A6156C" w:tentative="1">
      <w:start w:val="1"/>
      <w:numFmt w:val="bullet"/>
      <w:lvlText w:val="o"/>
      <w:lvlJc w:val="left"/>
      <w:pPr>
        <w:tabs>
          <w:tab w:val="num" w:pos="3600"/>
        </w:tabs>
        <w:ind w:left="3600" w:hanging="360"/>
      </w:pPr>
      <w:rPr>
        <w:rFonts w:ascii="Courier New" w:hAnsi="Courier New" w:cs="Courier New" w:hint="default"/>
      </w:rPr>
    </w:lvl>
    <w:lvl w:ilvl="5" w:tplc="46A472F6" w:tentative="1">
      <w:start w:val="1"/>
      <w:numFmt w:val="bullet"/>
      <w:lvlText w:val=""/>
      <w:lvlJc w:val="left"/>
      <w:pPr>
        <w:tabs>
          <w:tab w:val="num" w:pos="4320"/>
        </w:tabs>
        <w:ind w:left="4320" w:hanging="360"/>
      </w:pPr>
      <w:rPr>
        <w:rFonts w:ascii="Wingdings" w:hAnsi="Wingdings" w:hint="default"/>
      </w:rPr>
    </w:lvl>
    <w:lvl w:ilvl="6" w:tplc="DC58BBA2" w:tentative="1">
      <w:start w:val="1"/>
      <w:numFmt w:val="bullet"/>
      <w:lvlText w:val=""/>
      <w:lvlJc w:val="left"/>
      <w:pPr>
        <w:tabs>
          <w:tab w:val="num" w:pos="5040"/>
        </w:tabs>
        <w:ind w:left="5040" w:hanging="360"/>
      </w:pPr>
      <w:rPr>
        <w:rFonts w:ascii="Symbol" w:hAnsi="Symbol" w:hint="default"/>
      </w:rPr>
    </w:lvl>
    <w:lvl w:ilvl="7" w:tplc="C254BB52" w:tentative="1">
      <w:start w:val="1"/>
      <w:numFmt w:val="bullet"/>
      <w:lvlText w:val="o"/>
      <w:lvlJc w:val="left"/>
      <w:pPr>
        <w:tabs>
          <w:tab w:val="num" w:pos="5760"/>
        </w:tabs>
        <w:ind w:left="5760" w:hanging="360"/>
      </w:pPr>
      <w:rPr>
        <w:rFonts w:ascii="Courier New" w:hAnsi="Courier New" w:cs="Courier New" w:hint="default"/>
      </w:rPr>
    </w:lvl>
    <w:lvl w:ilvl="8" w:tplc="D9029F5E" w:tentative="1">
      <w:start w:val="1"/>
      <w:numFmt w:val="bullet"/>
      <w:lvlText w:val=""/>
      <w:lvlJc w:val="left"/>
      <w:pPr>
        <w:tabs>
          <w:tab w:val="num" w:pos="6480"/>
        </w:tabs>
        <w:ind w:left="6480" w:hanging="360"/>
      </w:pPr>
      <w:rPr>
        <w:rFonts w:ascii="Wingdings" w:hAnsi="Wingdings" w:hint="default"/>
      </w:rPr>
    </w:lvl>
  </w:abstractNum>
  <w:num w:numId="1" w16cid:durableId="615596891">
    <w:abstractNumId w:val="16"/>
  </w:num>
  <w:num w:numId="2" w16cid:durableId="1675569271">
    <w:abstractNumId w:val="27"/>
  </w:num>
  <w:num w:numId="3" w16cid:durableId="631136371">
    <w:abstractNumId w:val="10"/>
  </w:num>
  <w:num w:numId="4" w16cid:durableId="920329543">
    <w:abstractNumId w:val="18"/>
  </w:num>
  <w:num w:numId="5" w16cid:durableId="1688944068">
    <w:abstractNumId w:val="26"/>
  </w:num>
  <w:num w:numId="6" w16cid:durableId="1769425990">
    <w:abstractNumId w:val="22"/>
  </w:num>
  <w:num w:numId="7" w16cid:durableId="1952587022">
    <w:abstractNumId w:val="2"/>
  </w:num>
  <w:num w:numId="8" w16cid:durableId="31879993">
    <w:abstractNumId w:val="1"/>
  </w:num>
  <w:num w:numId="9" w16cid:durableId="622342428">
    <w:abstractNumId w:val="11"/>
  </w:num>
  <w:num w:numId="10" w16cid:durableId="929046513">
    <w:abstractNumId w:val="24"/>
  </w:num>
  <w:num w:numId="11" w16cid:durableId="1439368988">
    <w:abstractNumId w:val="14"/>
  </w:num>
  <w:num w:numId="12" w16cid:durableId="1892186342">
    <w:abstractNumId w:val="13"/>
  </w:num>
  <w:num w:numId="13" w16cid:durableId="249968793">
    <w:abstractNumId w:val="23"/>
  </w:num>
  <w:num w:numId="14" w16cid:durableId="700320426">
    <w:abstractNumId w:val="12"/>
  </w:num>
  <w:num w:numId="15" w16cid:durableId="373431361">
    <w:abstractNumId w:val="25"/>
  </w:num>
  <w:num w:numId="16" w16cid:durableId="2108496119">
    <w:abstractNumId w:val="8"/>
  </w:num>
  <w:num w:numId="17" w16cid:durableId="2082435815">
    <w:abstractNumId w:val="7"/>
  </w:num>
  <w:num w:numId="18" w16cid:durableId="46153329">
    <w:abstractNumId w:val="6"/>
  </w:num>
  <w:num w:numId="19" w16cid:durableId="1777168880">
    <w:abstractNumId w:val="5"/>
  </w:num>
  <w:num w:numId="20" w16cid:durableId="330522042">
    <w:abstractNumId w:val="4"/>
  </w:num>
  <w:num w:numId="21" w16cid:durableId="1197237154">
    <w:abstractNumId w:val="3"/>
  </w:num>
  <w:num w:numId="22" w16cid:durableId="1738477136">
    <w:abstractNumId w:val="0"/>
  </w:num>
  <w:num w:numId="23" w16cid:durableId="947856905">
    <w:abstractNumId w:val="21"/>
  </w:num>
  <w:num w:numId="24" w16cid:durableId="1176579763">
    <w:abstractNumId w:val="17"/>
  </w:num>
  <w:num w:numId="25" w16cid:durableId="2033800791">
    <w:abstractNumId w:val="15"/>
  </w:num>
  <w:num w:numId="26" w16cid:durableId="925772115">
    <w:abstractNumId w:val="9"/>
  </w:num>
  <w:num w:numId="27" w16cid:durableId="807744169">
    <w:abstractNumId w:val="19"/>
  </w:num>
  <w:num w:numId="28" w16cid:durableId="4643955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357"/>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58"/>
    <w:rsid w:val="000053D4"/>
    <w:rsid w:val="00012C81"/>
    <w:rsid w:val="00012D4A"/>
    <w:rsid w:val="000135BF"/>
    <w:rsid w:val="00013E12"/>
    <w:rsid w:val="00014701"/>
    <w:rsid w:val="00014954"/>
    <w:rsid w:val="000167B9"/>
    <w:rsid w:val="00021E6A"/>
    <w:rsid w:val="000224AF"/>
    <w:rsid w:val="00023FE7"/>
    <w:rsid w:val="00025226"/>
    <w:rsid w:val="00025783"/>
    <w:rsid w:val="000271EE"/>
    <w:rsid w:val="00030307"/>
    <w:rsid w:val="0004131A"/>
    <w:rsid w:val="00055148"/>
    <w:rsid w:val="00055788"/>
    <w:rsid w:val="00063FFA"/>
    <w:rsid w:val="000653A4"/>
    <w:rsid w:val="0007025C"/>
    <w:rsid w:val="00074FDE"/>
    <w:rsid w:val="00075B76"/>
    <w:rsid w:val="00076959"/>
    <w:rsid w:val="00083CC5"/>
    <w:rsid w:val="00086266"/>
    <w:rsid w:val="000923AB"/>
    <w:rsid w:val="00095DA4"/>
    <w:rsid w:val="000A3698"/>
    <w:rsid w:val="000A474F"/>
    <w:rsid w:val="000A564A"/>
    <w:rsid w:val="000A6292"/>
    <w:rsid w:val="000A64AE"/>
    <w:rsid w:val="000B2739"/>
    <w:rsid w:val="000B47E9"/>
    <w:rsid w:val="000C0E04"/>
    <w:rsid w:val="000D31C1"/>
    <w:rsid w:val="000D5A84"/>
    <w:rsid w:val="000D79AA"/>
    <w:rsid w:val="000E1770"/>
    <w:rsid w:val="000E185C"/>
    <w:rsid w:val="000E4F43"/>
    <w:rsid w:val="000E7D2C"/>
    <w:rsid w:val="000F2789"/>
    <w:rsid w:val="000F6CFA"/>
    <w:rsid w:val="000F6FF5"/>
    <w:rsid w:val="000F7B30"/>
    <w:rsid w:val="0010326A"/>
    <w:rsid w:val="00105B59"/>
    <w:rsid w:val="0010617D"/>
    <w:rsid w:val="001114E2"/>
    <w:rsid w:val="001126AE"/>
    <w:rsid w:val="00115472"/>
    <w:rsid w:val="00116FB7"/>
    <w:rsid w:val="0012056E"/>
    <w:rsid w:val="00121449"/>
    <w:rsid w:val="001259A2"/>
    <w:rsid w:val="001270AD"/>
    <w:rsid w:val="00133B1F"/>
    <w:rsid w:val="00134A98"/>
    <w:rsid w:val="00135364"/>
    <w:rsid w:val="001370C2"/>
    <w:rsid w:val="00137D95"/>
    <w:rsid w:val="00146F79"/>
    <w:rsid w:val="001477CA"/>
    <w:rsid w:val="001523C7"/>
    <w:rsid w:val="00154DC5"/>
    <w:rsid w:val="00155789"/>
    <w:rsid w:val="001565B4"/>
    <w:rsid w:val="00157705"/>
    <w:rsid w:val="00162668"/>
    <w:rsid w:val="00162A83"/>
    <w:rsid w:val="0016487E"/>
    <w:rsid w:val="001650C6"/>
    <w:rsid w:val="001664C2"/>
    <w:rsid w:val="001678C4"/>
    <w:rsid w:val="001702A3"/>
    <w:rsid w:val="00180F78"/>
    <w:rsid w:val="00184D58"/>
    <w:rsid w:val="00187549"/>
    <w:rsid w:val="00191ACB"/>
    <w:rsid w:val="00191B8C"/>
    <w:rsid w:val="0019248B"/>
    <w:rsid w:val="00192937"/>
    <w:rsid w:val="0019318E"/>
    <w:rsid w:val="00194F66"/>
    <w:rsid w:val="00196061"/>
    <w:rsid w:val="001A1461"/>
    <w:rsid w:val="001A2A28"/>
    <w:rsid w:val="001A2DCC"/>
    <w:rsid w:val="001A3B9E"/>
    <w:rsid w:val="001A568B"/>
    <w:rsid w:val="001A64B1"/>
    <w:rsid w:val="001A7868"/>
    <w:rsid w:val="001B018F"/>
    <w:rsid w:val="001B1021"/>
    <w:rsid w:val="001B3379"/>
    <w:rsid w:val="001C0037"/>
    <w:rsid w:val="001C115D"/>
    <w:rsid w:val="001C27CF"/>
    <w:rsid w:val="001C3FE2"/>
    <w:rsid w:val="001C5783"/>
    <w:rsid w:val="001C6876"/>
    <w:rsid w:val="001C6ECC"/>
    <w:rsid w:val="001D129A"/>
    <w:rsid w:val="001D2774"/>
    <w:rsid w:val="001D2EEF"/>
    <w:rsid w:val="001D410F"/>
    <w:rsid w:val="001D5CE8"/>
    <w:rsid w:val="001D5D86"/>
    <w:rsid w:val="001E205C"/>
    <w:rsid w:val="001E2102"/>
    <w:rsid w:val="001E369F"/>
    <w:rsid w:val="001F0B09"/>
    <w:rsid w:val="001F4788"/>
    <w:rsid w:val="001F4F1B"/>
    <w:rsid w:val="001F4FCB"/>
    <w:rsid w:val="001F5B9B"/>
    <w:rsid w:val="001F6659"/>
    <w:rsid w:val="002024E3"/>
    <w:rsid w:val="00202726"/>
    <w:rsid w:val="0020685B"/>
    <w:rsid w:val="002104BD"/>
    <w:rsid w:val="0021313F"/>
    <w:rsid w:val="002145D0"/>
    <w:rsid w:val="00214794"/>
    <w:rsid w:val="00225DB1"/>
    <w:rsid w:val="00230C19"/>
    <w:rsid w:val="00235905"/>
    <w:rsid w:val="00236559"/>
    <w:rsid w:val="00236BF9"/>
    <w:rsid w:val="002416FF"/>
    <w:rsid w:val="00243F19"/>
    <w:rsid w:val="0024419F"/>
    <w:rsid w:val="002444F8"/>
    <w:rsid w:val="00245379"/>
    <w:rsid w:val="0024552B"/>
    <w:rsid w:val="002455D7"/>
    <w:rsid w:val="00247932"/>
    <w:rsid w:val="00251ED2"/>
    <w:rsid w:val="002533D0"/>
    <w:rsid w:val="002539EC"/>
    <w:rsid w:val="00256055"/>
    <w:rsid w:val="002571E4"/>
    <w:rsid w:val="00260534"/>
    <w:rsid w:val="002613FB"/>
    <w:rsid w:val="00266877"/>
    <w:rsid w:val="0028005B"/>
    <w:rsid w:val="002810FB"/>
    <w:rsid w:val="00284146"/>
    <w:rsid w:val="002853BC"/>
    <w:rsid w:val="002865DD"/>
    <w:rsid w:val="00294306"/>
    <w:rsid w:val="00294840"/>
    <w:rsid w:val="00294F96"/>
    <w:rsid w:val="002969FD"/>
    <w:rsid w:val="00297F80"/>
    <w:rsid w:val="002A1CEC"/>
    <w:rsid w:val="002A54A5"/>
    <w:rsid w:val="002A54B4"/>
    <w:rsid w:val="002A7E9A"/>
    <w:rsid w:val="002B1467"/>
    <w:rsid w:val="002C2524"/>
    <w:rsid w:val="002C315C"/>
    <w:rsid w:val="002C3251"/>
    <w:rsid w:val="002C523D"/>
    <w:rsid w:val="002C55FB"/>
    <w:rsid w:val="002C6B07"/>
    <w:rsid w:val="002C7867"/>
    <w:rsid w:val="002D574B"/>
    <w:rsid w:val="002D5CC0"/>
    <w:rsid w:val="002D7C56"/>
    <w:rsid w:val="002E3907"/>
    <w:rsid w:val="002F23DC"/>
    <w:rsid w:val="002F3C1D"/>
    <w:rsid w:val="002F4099"/>
    <w:rsid w:val="002F6582"/>
    <w:rsid w:val="00304955"/>
    <w:rsid w:val="00305034"/>
    <w:rsid w:val="00306313"/>
    <w:rsid w:val="00307DBA"/>
    <w:rsid w:val="0031094C"/>
    <w:rsid w:val="00313B68"/>
    <w:rsid w:val="0032165F"/>
    <w:rsid w:val="00324B24"/>
    <w:rsid w:val="00326DA3"/>
    <w:rsid w:val="00326E26"/>
    <w:rsid w:val="00330845"/>
    <w:rsid w:val="003324BF"/>
    <w:rsid w:val="00334689"/>
    <w:rsid w:val="00337028"/>
    <w:rsid w:val="003370AE"/>
    <w:rsid w:val="00337603"/>
    <w:rsid w:val="00337B22"/>
    <w:rsid w:val="00345ED4"/>
    <w:rsid w:val="00351005"/>
    <w:rsid w:val="0035399E"/>
    <w:rsid w:val="003544B4"/>
    <w:rsid w:val="0035602D"/>
    <w:rsid w:val="00356F06"/>
    <w:rsid w:val="00360A70"/>
    <w:rsid w:val="00362D62"/>
    <w:rsid w:val="00365FA4"/>
    <w:rsid w:val="00373EA9"/>
    <w:rsid w:val="00380641"/>
    <w:rsid w:val="00381C39"/>
    <w:rsid w:val="00383064"/>
    <w:rsid w:val="003844CA"/>
    <w:rsid w:val="00384593"/>
    <w:rsid w:val="003846FE"/>
    <w:rsid w:val="0038664D"/>
    <w:rsid w:val="00390001"/>
    <w:rsid w:val="00393169"/>
    <w:rsid w:val="00396CAB"/>
    <w:rsid w:val="003A0834"/>
    <w:rsid w:val="003A39B1"/>
    <w:rsid w:val="003A39CA"/>
    <w:rsid w:val="003A5261"/>
    <w:rsid w:val="003A6BD2"/>
    <w:rsid w:val="003C0824"/>
    <w:rsid w:val="003C1389"/>
    <w:rsid w:val="003C5172"/>
    <w:rsid w:val="003C7631"/>
    <w:rsid w:val="003D0CDA"/>
    <w:rsid w:val="003D1171"/>
    <w:rsid w:val="003D6404"/>
    <w:rsid w:val="003E470E"/>
    <w:rsid w:val="003F1C6F"/>
    <w:rsid w:val="003F74C4"/>
    <w:rsid w:val="00403BA6"/>
    <w:rsid w:val="00406548"/>
    <w:rsid w:val="0042193F"/>
    <w:rsid w:val="004221A2"/>
    <w:rsid w:val="004250F1"/>
    <w:rsid w:val="0042661B"/>
    <w:rsid w:val="00427D8A"/>
    <w:rsid w:val="00435274"/>
    <w:rsid w:val="00440E65"/>
    <w:rsid w:val="00443232"/>
    <w:rsid w:val="004514AC"/>
    <w:rsid w:val="00451782"/>
    <w:rsid w:val="00452902"/>
    <w:rsid w:val="00460FE7"/>
    <w:rsid w:val="00462250"/>
    <w:rsid w:val="004633B8"/>
    <w:rsid w:val="0046493F"/>
    <w:rsid w:val="00466AD0"/>
    <w:rsid w:val="0047136E"/>
    <w:rsid w:val="004713DA"/>
    <w:rsid w:val="0047517C"/>
    <w:rsid w:val="0047666B"/>
    <w:rsid w:val="0049184E"/>
    <w:rsid w:val="00491A29"/>
    <w:rsid w:val="00491FFB"/>
    <w:rsid w:val="00496018"/>
    <w:rsid w:val="0049639F"/>
    <w:rsid w:val="004A1365"/>
    <w:rsid w:val="004A1B68"/>
    <w:rsid w:val="004A456E"/>
    <w:rsid w:val="004A4924"/>
    <w:rsid w:val="004A4F21"/>
    <w:rsid w:val="004B1493"/>
    <w:rsid w:val="004C69B8"/>
    <w:rsid w:val="004C7059"/>
    <w:rsid w:val="004D229B"/>
    <w:rsid w:val="004D5CBB"/>
    <w:rsid w:val="004E2BD4"/>
    <w:rsid w:val="004F26D8"/>
    <w:rsid w:val="004F3B8C"/>
    <w:rsid w:val="004F3CA8"/>
    <w:rsid w:val="004F52ED"/>
    <w:rsid w:val="004F53BD"/>
    <w:rsid w:val="004F6FA1"/>
    <w:rsid w:val="00500815"/>
    <w:rsid w:val="00500D83"/>
    <w:rsid w:val="00502753"/>
    <w:rsid w:val="00503571"/>
    <w:rsid w:val="0050419B"/>
    <w:rsid w:val="00504B92"/>
    <w:rsid w:val="00507310"/>
    <w:rsid w:val="00507D7F"/>
    <w:rsid w:val="00512BA8"/>
    <w:rsid w:val="00514758"/>
    <w:rsid w:val="00515643"/>
    <w:rsid w:val="005242B2"/>
    <w:rsid w:val="00524341"/>
    <w:rsid w:val="00524EDC"/>
    <w:rsid w:val="005259EE"/>
    <w:rsid w:val="00526989"/>
    <w:rsid w:val="00526C99"/>
    <w:rsid w:val="00532754"/>
    <w:rsid w:val="00532B49"/>
    <w:rsid w:val="00536372"/>
    <w:rsid w:val="00541557"/>
    <w:rsid w:val="00543465"/>
    <w:rsid w:val="0054380B"/>
    <w:rsid w:val="00546C6C"/>
    <w:rsid w:val="00547451"/>
    <w:rsid w:val="00547857"/>
    <w:rsid w:val="005504D8"/>
    <w:rsid w:val="00553360"/>
    <w:rsid w:val="00553479"/>
    <w:rsid w:val="00555AAE"/>
    <w:rsid w:val="0055654F"/>
    <w:rsid w:val="00556C0D"/>
    <w:rsid w:val="00556DCE"/>
    <w:rsid w:val="005626DE"/>
    <w:rsid w:val="00566588"/>
    <w:rsid w:val="00567755"/>
    <w:rsid w:val="005735F0"/>
    <w:rsid w:val="00577CDA"/>
    <w:rsid w:val="00582432"/>
    <w:rsid w:val="00586C54"/>
    <w:rsid w:val="005879A9"/>
    <w:rsid w:val="005904A6"/>
    <w:rsid w:val="00593E92"/>
    <w:rsid w:val="00596B08"/>
    <w:rsid w:val="005A426A"/>
    <w:rsid w:val="005A48C4"/>
    <w:rsid w:val="005A5B20"/>
    <w:rsid w:val="005B10D5"/>
    <w:rsid w:val="005B1754"/>
    <w:rsid w:val="005B5B96"/>
    <w:rsid w:val="005B5D34"/>
    <w:rsid w:val="005B5E75"/>
    <w:rsid w:val="005B79F4"/>
    <w:rsid w:val="005C0B8B"/>
    <w:rsid w:val="005C3F06"/>
    <w:rsid w:val="005C48DA"/>
    <w:rsid w:val="005D2764"/>
    <w:rsid w:val="005D3EC2"/>
    <w:rsid w:val="005D466A"/>
    <w:rsid w:val="005D5EFD"/>
    <w:rsid w:val="005E007D"/>
    <w:rsid w:val="005E0613"/>
    <w:rsid w:val="005E148E"/>
    <w:rsid w:val="005E260F"/>
    <w:rsid w:val="005E2DE1"/>
    <w:rsid w:val="005E55DD"/>
    <w:rsid w:val="005E58D5"/>
    <w:rsid w:val="005E644C"/>
    <w:rsid w:val="005F2547"/>
    <w:rsid w:val="005F2BC9"/>
    <w:rsid w:val="005F3E5A"/>
    <w:rsid w:val="005F4B73"/>
    <w:rsid w:val="005F57E7"/>
    <w:rsid w:val="005F6C04"/>
    <w:rsid w:val="00604888"/>
    <w:rsid w:val="00610492"/>
    <w:rsid w:val="00614039"/>
    <w:rsid w:val="0061648F"/>
    <w:rsid w:val="006210F2"/>
    <w:rsid w:val="00621BD3"/>
    <w:rsid w:val="006236E7"/>
    <w:rsid w:val="00623781"/>
    <w:rsid w:val="00633A48"/>
    <w:rsid w:val="00633C32"/>
    <w:rsid w:val="00634E20"/>
    <w:rsid w:val="00635254"/>
    <w:rsid w:val="00635859"/>
    <w:rsid w:val="00635EC3"/>
    <w:rsid w:val="0063629F"/>
    <w:rsid w:val="006438EB"/>
    <w:rsid w:val="00645CB8"/>
    <w:rsid w:val="00645D27"/>
    <w:rsid w:val="00650E5A"/>
    <w:rsid w:val="00656309"/>
    <w:rsid w:val="0065693A"/>
    <w:rsid w:val="00656CA9"/>
    <w:rsid w:val="00660083"/>
    <w:rsid w:val="006616BE"/>
    <w:rsid w:val="00661C3F"/>
    <w:rsid w:val="0066425D"/>
    <w:rsid w:val="00664799"/>
    <w:rsid w:val="0066610A"/>
    <w:rsid w:val="0067340D"/>
    <w:rsid w:val="006734AB"/>
    <w:rsid w:val="0067437D"/>
    <w:rsid w:val="00677361"/>
    <w:rsid w:val="00680430"/>
    <w:rsid w:val="00680518"/>
    <w:rsid w:val="006840F3"/>
    <w:rsid w:val="00685FE2"/>
    <w:rsid w:val="0068631A"/>
    <w:rsid w:val="00690632"/>
    <w:rsid w:val="00693A18"/>
    <w:rsid w:val="00694FFA"/>
    <w:rsid w:val="006976F9"/>
    <w:rsid w:val="006A1092"/>
    <w:rsid w:val="006A1C07"/>
    <w:rsid w:val="006A2161"/>
    <w:rsid w:val="006A39A5"/>
    <w:rsid w:val="006A56ED"/>
    <w:rsid w:val="006B0C9D"/>
    <w:rsid w:val="006B4E4D"/>
    <w:rsid w:val="006B52CA"/>
    <w:rsid w:val="006B66C1"/>
    <w:rsid w:val="006C1CC7"/>
    <w:rsid w:val="006C1F2B"/>
    <w:rsid w:val="006C39F5"/>
    <w:rsid w:val="006C42E3"/>
    <w:rsid w:val="006C4A92"/>
    <w:rsid w:val="006C5CB2"/>
    <w:rsid w:val="006D155E"/>
    <w:rsid w:val="006D399E"/>
    <w:rsid w:val="006D49A4"/>
    <w:rsid w:val="006D71A3"/>
    <w:rsid w:val="006E3843"/>
    <w:rsid w:val="006E41F4"/>
    <w:rsid w:val="006E5FD5"/>
    <w:rsid w:val="006E6E08"/>
    <w:rsid w:val="006E6F14"/>
    <w:rsid w:val="006F04E8"/>
    <w:rsid w:val="006F75B5"/>
    <w:rsid w:val="007007F9"/>
    <w:rsid w:val="007020D5"/>
    <w:rsid w:val="007039D5"/>
    <w:rsid w:val="0070673A"/>
    <w:rsid w:val="00707A31"/>
    <w:rsid w:val="00717EF0"/>
    <w:rsid w:val="00722789"/>
    <w:rsid w:val="00723FEC"/>
    <w:rsid w:val="007241A1"/>
    <w:rsid w:val="0072555E"/>
    <w:rsid w:val="007309A2"/>
    <w:rsid w:val="007352F2"/>
    <w:rsid w:val="00735538"/>
    <w:rsid w:val="00740A0E"/>
    <w:rsid w:val="007431BA"/>
    <w:rsid w:val="00747BC9"/>
    <w:rsid w:val="00752192"/>
    <w:rsid w:val="00752A98"/>
    <w:rsid w:val="00752CC4"/>
    <w:rsid w:val="00753326"/>
    <w:rsid w:val="00753F97"/>
    <w:rsid w:val="007557DF"/>
    <w:rsid w:val="00756205"/>
    <w:rsid w:val="00757BA3"/>
    <w:rsid w:val="00761BA4"/>
    <w:rsid w:val="00762CCB"/>
    <w:rsid w:val="00765CB8"/>
    <w:rsid w:val="00774829"/>
    <w:rsid w:val="007769FA"/>
    <w:rsid w:val="007803E9"/>
    <w:rsid w:val="00785A50"/>
    <w:rsid w:val="00791FDB"/>
    <w:rsid w:val="00795B6A"/>
    <w:rsid w:val="00795C97"/>
    <w:rsid w:val="00797116"/>
    <w:rsid w:val="007A34F0"/>
    <w:rsid w:val="007A3695"/>
    <w:rsid w:val="007A5973"/>
    <w:rsid w:val="007A6FA4"/>
    <w:rsid w:val="007A7F19"/>
    <w:rsid w:val="007B095D"/>
    <w:rsid w:val="007B3291"/>
    <w:rsid w:val="007B48CA"/>
    <w:rsid w:val="007B7180"/>
    <w:rsid w:val="007C088E"/>
    <w:rsid w:val="007C2BC7"/>
    <w:rsid w:val="007C4EF1"/>
    <w:rsid w:val="007C5E4D"/>
    <w:rsid w:val="007C6CBB"/>
    <w:rsid w:val="007C76CC"/>
    <w:rsid w:val="007D1BAC"/>
    <w:rsid w:val="007D2D2B"/>
    <w:rsid w:val="007D3DF5"/>
    <w:rsid w:val="007D4DAA"/>
    <w:rsid w:val="007D63C2"/>
    <w:rsid w:val="007D7FC9"/>
    <w:rsid w:val="007E263D"/>
    <w:rsid w:val="007E36EB"/>
    <w:rsid w:val="007E41BB"/>
    <w:rsid w:val="007E531A"/>
    <w:rsid w:val="007E7A97"/>
    <w:rsid w:val="007F0C4E"/>
    <w:rsid w:val="007F10C8"/>
    <w:rsid w:val="007F19B7"/>
    <w:rsid w:val="007F25A7"/>
    <w:rsid w:val="007F26A4"/>
    <w:rsid w:val="007F7334"/>
    <w:rsid w:val="008040D5"/>
    <w:rsid w:val="00805CBA"/>
    <w:rsid w:val="00810046"/>
    <w:rsid w:val="0081243C"/>
    <w:rsid w:val="008126E1"/>
    <w:rsid w:val="00813074"/>
    <w:rsid w:val="00813B12"/>
    <w:rsid w:val="00815155"/>
    <w:rsid w:val="00822CC5"/>
    <w:rsid w:val="00823B55"/>
    <w:rsid w:val="00823DB8"/>
    <w:rsid w:val="00824E68"/>
    <w:rsid w:val="008266DD"/>
    <w:rsid w:val="00827196"/>
    <w:rsid w:val="0083215E"/>
    <w:rsid w:val="00832B7A"/>
    <w:rsid w:val="00832E99"/>
    <w:rsid w:val="00833A17"/>
    <w:rsid w:val="0084030B"/>
    <w:rsid w:val="0084423F"/>
    <w:rsid w:val="008446B6"/>
    <w:rsid w:val="00847C45"/>
    <w:rsid w:val="00850A0D"/>
    <w:rsid w:val="008521C6"/>
    <w:rsid w:val="008527DC"/>
    <w:rsid w:val="00856321"/>
    <w:rsid w:val="008604F9"/>
    <w:rsid w:val="00861672"/>
    <w:rsid w:val="00864E99"/>
    <w:rsid w:val="00871405"/>
    <w:rsid w:val="0087671C"/>
    <w:rsid w:val="00876AB4"/>
    <w:rsid w:val="00884914"/>
    <w:rsid w:val="00885569"/>
    <w:rsid w:val="00892320"/>
    <w:rsid w:val="00893EB2"/>
    <w:rsid w:val="00894547"/>
    <w:rsid w:val="008A04E6"/>
    <w:rsid w:val="008A3106"/>
    <w:rsid w:val="008A7962"/>
    <w:rsid w:val="008B021F"/>
    <w:rsid w:val="008B21DC"/>
    <w:rsid w:val="008B328A"/>
    <w:rsid w:val="008B450A"/>
    <w:rsid w:val="008B5708"/>
    <w:rsid w:val="008B6F1A"/>
    <w:rsid w:val="008C2B52"/>
    <w:rsid w:val="008C474E"/>
    <w:rsid w:val="008D173C"/>
    <w:rsid w:val="008D2686"/>
    <w:rsid w:val="008D2FBE"/>
    <w:rsid w:val="008D3088"/>
    <w:rsid w:val="008E037B"/>
    <w:rsid w:val="008E588E"/>
    <w:rsid w:val="008E70A4"/>
    <w:rsid w:val="008F2407"/>
    <w:rsid w:val="008F6BC3"/>
    <w:rsid w:val="009021F0"/>
    <w:rsid w:val="00903349"/>
    <w:rsid w:val="00903847"/>
    <w:rsid w:val="00904122"/>
    <w:rsid w:val="00904D82"/>
    <w:rsid w:val="00905A63"/>
    <w:rsid w:val="0090719D"/>
    <w:rsid w:val="00911F65"/>
    <w:rsid w:val="0091205A"/>
    <w:rsid w:val="0091317E"/>
    <w:rsid w:val="00913DB6"/>
    <w:rsid w:val="009161CB"/>
    <w:rsid w:val="00920864"/>
    <w:rsid w:val="00930F27"/>
    <w:rsid w:val="00932150"/>
    <w:rsid w:val="009437DB"/>
    <w:rsid w:val="00943A1A"/>
    <w:rsid w:val="0094420E"/>
    <w:rsid w:val="00944C97"/>
    <w:rsid w:val="00946142"/>
    <w:rsid w:val="00952919"/>
    <w:rsid w:val="00952C0C"/>
    <w:rsid w:val="0096369D"/>
    <w:rsid w:val="00970B17"/>
    <w:rsid w:val="00971762"/>
    <w:rsid w:val="00971B27"/>
    <w:rsid w:val="00975649"/>
    <w:rsid w:val="00976E62"/>
    <w:rsid w:val="00977D25"/>
    <w:rsid w:val="00980436"/>
    <w:rsid w:val="009817E7"/>
    <w:rsid w:val="00982B4C"/>
    <w:rsid w:val="00984856"/>
    <w:rsid w:val="00985D5D"/>
    <w:rsid w:val="009861B6"/>
    <w:rsid w:val="00991F44"/>
    <w:rsid w:val="009920DC"/>
    <w:rsid w:val="0099483C"/>
    <w:rsid w:val="00997B20"/>
    <w:rsid w:val="009A5BC1"/>
    <w:rsid w:val="009B0375"/>
    <w:rsid w:val="009B317C"/>
    <w:rsid w:val="009B3D36"/>
    <w:rsid w:val="009C0D38"/>
    <w:rsid w:val="009C40A8"/>
    <w:rsid w:val="009C4391"/>
    <w:rsid w:val="009C4A63"/>
    <w:rsid w:val="009C4C85"/>
    <w:rsid w:val="009C7F23"/>
    <w:rsid w:val="009D2958"/>
    <w:rsid w:val="009D50F8"/>
    <w:rsid w:val="009E1027"/>
    <w:rsid w:val="009E7943"/>
    <w:rsid w:val="009F03C0"/>
    <w:rsid w:val="009F177F"/>
    <w:rsid w:val="009F5A09"/>
    <w:rsid w:val="009F6DE7"/>
    <w:rsid w:val="009F7B03"/>
    <w:rsid w:val="00A010DD"/>
    <w:rsid w:val="00A01DAB"/>
    <w:rsid w:val="00A02015"/>
    <w:rsid w:val="00A036FF"/>
    <w:rsid w:val="00A05432"/>
    <w:rsid w:val="00A06032"/>
    <w:rsid w:val="00A10D78"/>
    <w:rsid w:val="00A13233"/>
    <w:rsid w:val="00A13D77"/>
    <w:rsid w:val="00A21210"/>
    <w:rsid w:val="00A24B69"/>
    <w:rsid w:val="00A26049"/>
    <w:rsid w:val="00A326E0"/>
    <w:rsid w:val="00A32A0F"/>
    <w:rsid w:val="00A35DEB"/>
    <w:rsid w:val="00A4219A"/>
    <w:rsid w:val="00A4252C"/>
    <w:rsid w:val="00A42A9A"/>
    <w:rsid w:val="00A43DE5"/>
    <w:rsid w:val="00A455FD"/>
    <w:rsid w:val="00A45C90"/>
    <w:rsid w:val="00A5769F"/>
    <w:rsid w:val="00A602FC"/>
    <w:rsid w:val="00A66276"/>
    <w:rsid w:val="00A6630E"/>
    <w:rsid w:val="00A67336"/>
    <w:rsid w:val="00A74CCB"/>
    <w:rsid w:val="00A74DD1"/>
    <w:rsid w:val="00A777CA"/>
    <w:rsid w:val="00A7796B"/>
    <w:rsid w:val="00A77F17"/>
    <w:rsid w:val="00A80F69"/>
    <w:rsid w:val="00A81175"/>
    <w:rsid w:val="00A814D7"/>
    <w:rsid w:val="00A868DD"/>
    <w:rsid w:val="00A876D0"/>
    <w:rsid w:val="00A90151"/>
    <w:rsid w:val="00A90F3D"/>
    <w:rsid w:val="00A93162"/>
    <w:rsid w:val="00A94DBA"/>
    <w:rsid w:val="00AA7F7A"/>
    <w:rsid w:val="00AB0EED"/>
    <w:rsid w:val="00AB10FB"/>
    <w:rsid w:val="00AB1A59"/>
    <w:rsid w:val="00AB2F02"/>
    <w:rsid w:val="00AB3C33"/>
    <w:rsid w:val="00AB68CA"/>
    <w:rsid w:val="00AC12C0"/>
    <w:rsid w:val="00AC1DEE"/>
    <w:rsid w:val="00AC3D19"/>
    <w:rsid w:val="00AC7EF7"/>
    <w:rsid w:val="00AD0AB4"/>
    <w:rsid w:val="00AD6B8B"/>
    <w:rsid w:val="00AE1125"/>
    <w:rsid w:val="00AE15A9"/>
    <w:rsid w:val="00AE2B3C"/>
    <w:rsid w:val="00AE3638"/>
    <w:rsid w:val="00AF0899"/>
    <w:rsid w:val="00AF1574"/>
    <w:rsid w:val="00AF4D11"/>
    <w:rsid w:val="00AF4E2C"/>
    <w:rsid w:val="00AF6BE7"/>
    <w:rsid w:val="00B057CC"/>
    <w:rsid w:val="00B06D6D"/>
    <w:rsid w:val="00B1128D"/>
    <w:rsid w:val="00B1178B"/>
    <w:rsid w:val="00B12293"/>
    <w:rsid w:val="00B12BF5"/>
    <w:rsid w:val="00B13ACD"/>
    <w:rsid w:val="00B148A5"/>
    <w:rsid w:val="00B1798A"/>
    <w:rsid w:val="00B20226"/>
    <w:rsid w:val="00B20548"/>
    <w:rsid w:val="00B20970"/>
    <w:rsid w:val="00B227C5"/>
    <w:rsid w:val="00B253F6"/>
    <w:rsid w:val="00B27B41"/>
    <w:rsid w:val="00B31A53"/>
    <w:rsid w:val="00B33EE1"/>
    <w:rsid w:val="00B341A9"/>
    <w:rsid w:val="00B472BE"/>
    <w:rsid w:val="00B47F96"/>
    <w:rsid w:val="00B51299"/>
    <w:rsid w:val="00B513A1"/>
    <w:rsid w:val="00B5149F"/>
    <w:rsid w:val="00B52BC7"/>
    <w:rsid w:val="00B53F62"/>
    <w:rsid w:val="00B60AB5"/>
    <w:rsid w:val="00B6486C"/>
    <w:rsid w:val="00B67682"/>
    <w:rsid w:val="00B72CC7"/>
    <w:rsid w:val="00B750A2"/>
    <w:rsid w:val="00B7770B"/>
    <w:rsid w:val="00B80AA8"/>
    <w:rsid w:val="00B82697"/>
    <w:rsid w:val="00B83A2C"/>
    <w:rsid w:val="00B85053"/>
    <w:rsid w:val="00B8676F"/>
    <w:rsid w:val="00B918EC"/>
    <w:rsid w:val="00B9419A"/>
    <w:rsid w:val="00B96A61"/>
    <w:rsid w:val="00B972BC"/>
    <w:rsid w:val="00BA08A5"/>
    <w:rsid w:val="00BA1B55"/>
    <w:rsid w:val="00BA53EA"/>
    <w:rsid w:val="00BA76A5"/>
    <w:rsid w:val="00BB45D3"/>
    <w:rsid w:val="00BB54CE"/>
    <w:rsid w:val="00BC063F"/>
    <w:rsid w:val="00BC53B6"/>
    <w:rsid w:val="00BC5783"/>
    <w:rsid w:val="00BD3A8A"/>
    <w:rsid w:val="00BD610A"/>
    <w:rsid w:val="00BD7098"/>
    <w:rsid w:val="00BE142A"/>
    <w:rsid w:val="00BE2AE8"/>
    <w:rsid w:val="00BE3A10"/>
    <w:rsid w:val="00BE425F"/>
    <w:rsid w:val="00BE46CD"/>
    <w:rsid w:val="00BE6E43"/>
    <w:rsid w:val="00C0358B"/>
    <w:rsid w:val="00C05528"/>
    <w:rsid w:val="00C058C2"/>
    <w:rsid w:val="00C075EF"/>
    <w:rsid w:val="00C07DBD"/>
    <w:rsid w:val="00C102C9"/>
    <w:rsid w:val="00C14D79"/>
    <w:rsid w:val="00C14F9E"/>
    <w:rsid w:val="00C151E2"/>
    <w:rsid w:val="00C20B7F"/>
    <w:rsid w:val="00C24289"/>
    <w:rsid w:val="00C262BF"/>
    <w:rsid w:val="00C27D08"/>
    <w:rsid w:val="00C3187B"/>
    <w:rsid w:val="00C3194F"/>
    <w:rsid w:val="00C31E7F"/>
    <w:rsid w:val="00C36684"/>
    <w:rsid w:val="00C36E4A"/>
    <w:rsid w:val="00C44C9B"/>
    <w:rsid w:val="00C460D6"/>
    <w:rsid w:val="00C51FCF"/>
    <w:rsid w:val="00C5314E"/>
    <w:rsid w:val="00C55C0C"/>
    <w:rsid w:val="00C5686D"/>
    <w:rsid w:val="00C60BA8"/>
    <w:rsid w:val="00C6336B"/>
    <w:rsid w:val="00C65B8E"/>
    <w:rsid w:val="00C717BC"/>
    <w:rsid w:val="00C71BFB"/>
    <w:rsid w:val="00C776EE"/>
    <w:rsid w:val="00C80072"/>
    <w:rsid w:val="00C803AD"/>
    <w:rsid w:val="00C80C4E"/>
    <w:rsid w:val="00C82AC5"/>
    <w:rsid w:val="00C831A0"/>
    <w:rsid w:val="00C8750F"/>
    <w:rsid w:val="00C903B6"/>
    <w:rsid w:val="00C916E9"/>
    <w:rsid w:val="00C91816"/>
    <w:rsid w:val="00C91C96"/>
    <w:rsid w:val="00C94C78"/>
    <w:rsid w:val="00C94F06"/>
    <w:rsid w:val="00C9699C"/>
    <w:rsid w:val="00C96E52"/>
    <w:rsid w:val="00CA021A"/>
    <w:rsid w:val="00CA0B12"/>
    <w:rsid w:val="00CA232F"/>
    <w:rsid w:val="00CA3190"/>
    <w:rsid w:val="00CA37E9"/>
    <w:rsid w:val="00CA7560"/>
    <w:rsid w:val="00CB0E8F"/>
    <w:rsid w:val="00CB2468"/>
    <w:rsid w:val="00CB344C"/>
    <w:rsid w:val="00CB3464"/>
    <w:rsid w:val="00CB3DD2"/>
    <w:rsid w:val="00CB48BE"/>
    <w:rsid w:val="00CB6C71"/>
    <w:rsid w:val="00CC008D"/>
    <w:rsid w:val="00CC1EF4"/>
    <w:rsid w:val="00CC24D6"/>
    <w:rsid w:val="00CC276C"/>
    <w:rsid w:val="00CC29A5"/>
    <w:rsid w:val="00CC35A6"/>
    <w:rsid w:val="00CC493B"/>
    <w:rsid w:val="00CC5314"/>
    <w:rsid w:val="00CD0582"/>
    <w:rsid w:val="00CD3A10"/>
    <w:rsid w:val="00CD3A3F"/>
    <w:rsid w:val="00CD4668"/>
    <w:rsid w:val="00CD4B70"/>
    <w:rsid w:val="00CD655A"/>
    <w:rsid w:val="00CD71E5"/>
    <w:rsid w:val="00CE1AEF"/>
    <w:rsid w:val="00CE4459"/>
    <w:rsid w:val="00CE779E"/>
    <w:rsid w:val="00CF02E0"/>
    <w:rsid w:val="00CF0395"/>
    <w:rsid w:val="00CF1CD1"/>
    <w:rsid w:val="00CF3223"/>
    <w:rsid w:val="00CF4861"/>
    <w:rsid w:val="00CF7AF2"/>
    <w:rsid w:val="00D002B7"/>
    <w:rsid w:val="00D02CC1"/>
    <w:rsid w:val="00D06176"/>
    <w:rsid w:val="00D07423"/>
    <w:rsid w:val="00D0787C"/>
    <w:rsid w:val="00D11912"/>
    <w:rsid w:val="00D15047"/>
    <w:rsid w:val="00D15620"/>
    <w:rsid w:val="00D15D69"/>
    <w:rsid w:val="00D165E7"/>
    <w:rsid w:val="00D172C7"/>
    <w:rsid w:val="00D2095C"/>
    <w:rsid w:val="00D22463"/>
    <w:rsid w:val="00D26031"/>
    <w:rsid w:val="00D304E8"/>
    <w:rsid w:val="00D3300B"/>
    <w:rsid w:val="00D331FA"/>
    <w:rsid w:val="00D34CCD"/>
    <w:rsid w:val="00D37A6D"/>
    <w:rsid w:val="00D37AF3"/>
    <w:rsid w:val="00D4185D"/>
    <w:rsid w:val="00D44C34"/>
    <w:rsid w:val="00D51553"/>
    <w:rsid w:val="00D5184C"/>
    <w:rsid w:val="00D51B0E"/>
    <w:rsid w:val="00D63365"/>
    <w:rsid w:val="00D657A5"/>
    <w:rsid w:val="00D66077"/>
    <w:rsid w:val="00D66DD8"/>
    <w:rsid w:val="00D716B6"/>
    <w:rsid w:val="00D71AB5"/>
    <w:rsid w:val="00D741ED"/>
    <w:rsid w:val="00D76FF6"/>
    <w:rsid w:val="00D80599"/>
    <w:rsid w:val="00D82E13"/>
    <w:rsid w:val="00D82FB7"/>
    <w:rsid w:val="00D831E8"/>
    <w:rsid w:val="00D83A47"/>
    <w:rsid w:val="00D84DE3"/>
    <w:rsid w:val="00D850A4"/>
    <w:rsid w:val="00D87DB9"/>
    <w:rsid w:val="00D931E3"/>
    <w:rsid w:val="00D9426F"/>
    <w:rsid w:val="00DA1EAD"/>
    <w:rsid w:val="00DA3593"/>
    <w:rsid w:val="00DA6A89"/>
    <w:rsid w:val="00DA6B6E"/>
    <w:rsid w:val="00DB1C5E"/>
    <w:rsid w:val="00DB2EAA"/>
    <w:rsid w:val="00DB31FF"/>
    <w:rsid w:val="00DB5FEE"/>
    <w:rsid w:val="00DB7007"/>
    <w:rsid w:val="00DC224C"/>
    <w:rsid w:val="00DC356E"/>
    <w:rsid w:val="00DC4FE2"/>
    <w:rsid w:val="00DC5806"/>
    <w:rsid w:val="00DC66AF"/>
    <w:rsid w:val="00DD4F52"/>
    <w:rsid w:val="00DD4F5B"/>
    <w:rsid w:val="00DD5325"/>
    <w:rsid w:val="00DD5672"/>
    <w:rsid w:val="00DD73AA"/>
    <w:rsid w:val="00DE0A08"/>
    <w:rsid w:val="00DE2BE0"/>
    <w:rsid w:val="00DE41C4"/>
    <w:rsid w:val="00DE7B22"/>
    <w:rsid w:val="00DF00F9"/>
    <w:rsid w:val="00DF0ED1"/>
    <w:rsid w:val="00E06BB7"/>
    <w:rsid w:val="00E11102"/>
    <w:rsid w:val="00E12DB4"/>
    <w:rsid w:val="00E13E79"/>
    <w:rsid w:val="00E144CC"/>
    <w:rsid w:val="00E176B0"/>
    <w:rsid w:val="00E261E7"/>
    <w:rsid w:val="00E3102B"/>
    <w:rsid w:val="00E32A7F"/>
    <w:rsid w:val="00E332A2"/>
    <w:rsid w:val="00E344C3"/>
    <w:rsid w:val="00E37458"/>
    <w:rsid w:val="00E4116D"/>
    <w:rsid w:val="00E43807"/>
    <w:rsid w:val="00E44F96"/>
    <w:rsid w:val="00E4525F"/>
    <w:rsid w:val="00E51049"/>
    <w:rsid w:val="00E552F3"/>
    <w:rsid w:val="00E55DA1"/>
    <w:rsid w:val="00E609B1"/>
    <w:rsid w:val="00E61170"/>
    <w:rsid w:val="00E61CD6"/>
    <w:rsid w:val="00E62503"/>
    <w:rsid w:val="00E65AC6"/>
    <w:rsid w:val="00E6645E"/>
    <w:rsid w:val="00E67E97"/>
    <w:rsid w:val="00E73495"/>
    <w:rsid w:val="00E769DC"/>
    <w:rsid w:val="00E76BB3"/>
    <w:rsid w:val="00E771F0"/>
    <w:rsid w:val="00E82C13"/>
    <w:rsid w:val="00E83BCD"/>
    <w:rsid w:val="00E84C11"/>
    <w:rsid w:val="00E85C16"/>
    <w:rsid w:val="00E85DDE"/>
    <w:rsid w:val="00E86648"/>
    <w:rsid w:val="00E86AAE"/>
    <w:rsid w:val="00E873CE"/>
    <w:rsid w:val="00E93F3A"/>
    <w:rsid w:val="00E944B7"/>
    <w:rsid w:val="00EA09B7"/>
    <w:rsid w:val="00EB1749"/>
    <w:rsid w:val="00EB4292"/>
    <w:rsid w:val="00EB5933"/>
    <w:rsid w:val="00EC1E81"/>
    <w:rsid w:val="00EC34F0"/>
    <w:rsid w:val="00ED15EA"/>
    <w:rsid w:val="00ED256F"/>
    <w:rsid w:val="00EE2BBD"/>
    <w:rsid w:val="00EE57B6"/>
    <w:rsid w:val="00EE59D3"/>
    <w:rsid w:val="00EE6C7B"/>
    <w:rsid w:val="00EE6F5A"/>
    <w:rsid w:val="00EF1B7A"/>
    <w:rsid w:val="00EF423F"/>
    <w:rsid w:val="00EF4500"/>
    <w:rsid w:val="00EF5992"/>
    <w:rsid w:val="00EF5D8E"/>
    <w:rsid w:val="00EF738E"/>
    <w:rsid w:val="00F02994"/>
    <w:rsid w:val="00F044AB"/>
    <w:rsid w:val="00F04C5E"/>
    <w:rsid w:val="00F10770"/>
    <w:rsid w:val="00F13E06"/>
    <w:rsid w:val="00F1497B"/>
    <w:rsid w:val="00F22D1B"/>
    <w:rsid w:val="00F241EF"/>
    <w:rsid w:val="00F311DF"/>
    <w:rsid w:val="00F32ADD"/>
    <w:rsid w:val="00F33703"/>
    <w:rsid w:val="00F33E0E"/>
    <w:rsid w:val="00F351C8"/>
    <w:rsid w:val="00F363EB"/>
    <w:rsid w:val="00F37CBA"/>
    <w:rsid w:val="00F40330"/>
    <w:rsid w:val="00F4075D"/>
    <w:rsid w:val="00F40EAA"/>
    <w:rsid w:val="00F42E1F"/>
    <w:rsid w:val="00F44C09"/>
    <w:rsid w:val="00F4638C"/>
    <w:rsid w:val="00F510AD"/>
    <w:rsid w:val="00F5146D"/>
    <w:rsid w:val="00F51FB3"/>
    <w:rsid w:val="00F63500"/>
    <w:rsid w:val="00F65B24"/>
    <w:rsid w:val="00F66ED9"/>
    <w:rsid w:val="00F70D15"/>
    <w:rsid w:val="00F72032"/>
    <w:rsid w:val="00F74772"/>
    <w:rsid w:val="00F750AA"/>
    <w:rsid w:val="00F75CA3"/>
    <w:rsid w:val="00F766DD"/>
    <w:rsid w:val="00F812E4"/>
    <w:rsid w:val="00F823F7"/>
    <w:rsid w:val="00F90107"/>
    <w:rsid w:val="00F90C02"/>
    <w:rsid w:val="00F915CB"/>
    <w:rsid w:val="00F94D35"/>
    <w:rsid w:val="00F965B7"/>
    <w:rsid w:val="00FA679F"/>
    <w:rsid w:val="00FB084A"/>
    <w:rsid w:val="00FB1B78"/>
    <w:rsid w:val="00FB21A9"/>
    <w:rsid w:val="00FB3D78"/>
    <w:rsid w:val="00FB5390"/>
    <w:rsid w:val="00FB5CA2"/>
    <w:rsid w:val="00FB6604"/>
    <w:rsid w:val="00FB69DD"/>
    <w:rsid w:val="00FB73FF"/>
    <w:rsid w:val="00FC0BC6"/>
    <w:rsid w:val="00FC1984"/>
    <w:rsid w:val="00FC48FD"/>
    <w:rsid w:val="00FC6D31"/>
    <w:rsid w:val="00FD2ADE"/>
    <w:rsid w:val="00FD3488"/>
    <w:rsid w:val="00FD3A85"/>
    <w:rsid w:val="00FD4F14"/>
    <w:rsid w:val="00FD5C3D"/>
    <w:rsid w:val="00FD78D0"/>
    <w:rsid w:val="00FE1804"/>
    <w:rsid w:val="00FE3946"/>
    <w:rsid w:val="00FF1E16"/>
    <w:rsid w:val="00FF2B29"/>
    <w:rsid w:val="00FF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C26CA"/>
  <w15:chartTrackingRefBased/>
  <w15:docId w15:val="{1AFF7EE7-16DC-43E9-82CD-51F7A4CD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184C"/>
    <w:pPr>
      <w:spacing w:line="320" w:lineRule="atLeast"/>
      <w:jc w:val="both"/>
    </w:pPr>
    <w:rPr>
      <w:rFonts w:ascii="Arial" w:eastAsia="Times New Roman" w:hAnsi="Arial"/>
      <w:sz w:val="22"/>
      <w:szCs w:val="24"/>
      <w:lang w:eastAsia="en-US"/>
    </w:rPr>
  </w:style>
  <w:style w:type="paragraph" w:styleId="berschrift1">
    <w:name w:val="heading 1"/>
    <w:basedOn w:val="Standard"/>
    <w:next w:val="Standard"/>
    <w:qFormat/>
    <w:rsid w:val="00C151E2"/>
    <w:pPr>
      <w:numPr>
        <w:numId w:val="24"/>
      </w:numPr>
      <w:outlineLvl w:val="0"/>
    </w:pPr>
    <w:rPr>
      <w:rFonts w:eastAsiaTheme="minorEastAsia" w:cs="Arial"/>
      <w:bCs/>
      <w:kern w:val="32"/>
      <w:szCs w:val="32"/>
      <w:lang w:eastAsia="zh-CN"/>
    </w:rPr>
  </w:style>
  <w:style w:type="paragraph" w:styleId="berschrift2">
    <w:name w:val="heading 2"/>
    <w:basedOn w:val="Standard"/>
    <w:next w:val="Standard"/>
    <w:qFormat/>
    <w:rsid w:val="00C151E2"/>
    <w:pPr>
      <w:numPr>
        <w:ilvl w:val="1"/>
        <w:numId w:val="24"/>
      </w:numPr>
      <w:outlineLvl w:val="1"/>
    </w:pPr>
    <w:rPr>
      <w:rFonts w:eastAsiaTheme="minorEastAsia" w:cs="Arial"/>
      <w:bCs/>
      <w:iCs/>
      <w:szCs w:val="28"/>
      <w:lang w:eastAsia="zh-CN"/>
    </w:rPr>
  </w:style>
  <w:style w:type="paragraph" w:styleId="berschrift3">
    <w:name w:val="heading 3"/>
    <w:basedOn w:val="Standard"/>
    <w:next w:val="Standard"/>
    <w:qFormat/>
    <w:rsid w:val="00C151E2"/>
    <w:pPr>
      <w:numPr>
        <w:ilvl w:val="2"/>
        <w:numId w:val="24"/>
      </w:numPr>
      <w:spacing w:after="120"/>
      <w:outlineLvl w:val="2"/>
    </w:pPr>
    <w:rPr>
      <w:rFonts w:eastAsiaTheme="minorEastAsia"/>
      <w:bCs/>
      <w:szCs w:val="26"/>
      <w:lang w:eastAsia="zh-CN"/>
    </w:rPr>
  </w:style>
  <w:style w:type="paragraph" w:styleId="berschrift4">
    <w:name w:val="heading 4"/>
    <w:basedOn w:val="Standard"/>
    <w:next w:val="Standard"/>
    <w:qFormat/>
    <w:rsid w:val="00EB5933"/>
    <w:pPr>
      <w:numPr>
        <w:ilvl w:val="3"/>
        <w:numId w:val="24"/>
      </w:numPr>
      <w:spacing w:after="120"/>
      <w:outlineLvl w:val="3"/>
    </w:pPr>
    <w:rPr>
      <w:rFonts w:eastAsiaTheme="minorEastAsia"/>
      <w:bCs/>
      <w:szCs w:val="28"/>
      <w:lang w:eastAsia="zh-CN"/>
    </w:rPr>
  </w:style>
  <w:style w:type="paragraph" w:styleId="berschrift5">
    <w:name w:val="heading 5"/>
    <w:basedOn w:val="Standard"/>
    <w:next w:val="Standard"/>
    <w:link w:val="berschrift5Zchn"/>
    <w:unhideWhenUsed/>
    <w:qFormat/>
    <w:rsid w:val="00C151E2"/>
    <w:pPr>
      <w:numPr>
        <w:ilvl w:val="4"/>
        <w:numId w:val="24"/>
      </w:numPr>
      <w:spacing w:line="240" w:lineRule="atLeast"/>
      <w:outlineLvl w:val="4"/>
    </w:pPr>
    <w:rPr>
      <w:rFonts w:eastAsiaTheme="majorEastAsia" w:cstheme="majorBidi"/>
      <w:lang w:eastAsia="zh-CN"/>
    </w:rPr>
  </w:style>
  <w:style w:type="paragraph" w:styleId="berschrift6">
    <w:name w:val="heading 6"/>
    <w:basedOn w:val="Standard"/>
    <w:next w:val="Standard"/>
    <w:link w:val="berschrift6Zchn"/>
    <w:unhideWhenUsed/>
    <w:qFormat/>
    <w:rsid w:val="006840F3"/>
    <w:pPr>
      <w:numPr>
        <w:ilvl w:val="5"/>
        <w:numId w:val="24"/>
      </w:numPr>
      <w:outlineLvl w:val="5"/>
    </w:pPr>
    <w:rPr>
      <w:rFonts w:eastAsiaTheme="majorEastAsia" w:cstheme="majorBidi"/>
      <w:iCs/>
      <w:lang w:eastAsia="zh-CN"/>
    </w:rPr>
  </w:style>
  <w:style w:type="paragraph" w:styleId="berschrift7">
    <w:name w:val="heading 7"/>
    <w:basedOn w:val="Standard"/>
    <w:next w:val="Standard"/>
    <w:link w:val="berschrift7Zchn"/>
    <w:unhideWhenUsed/>
    <w:qFormat/>
    <w:rsid w:val="00EB5933"/>
    <w:pPr>
      <w:numPr>
        <w:ilvl w:val="6"/>
        <w:numId w:val="24"/>
      </w:numPr>
      <w:outlineLvl w:val="6"/>
    </w:pPr>
    <w:rPr>
      <w:rFonts w:eastAsiaTheme="majorEastAsia" w:cstheme="majorBidi"/>
      <w:iCs/>
      <w:lang w:eastAsia="zh-CN"/>
    </w:rPr>
  </w:style>
  <w:style w:type="paragraph" w:styleId="berschrift8">
    <w:name w:val="heading 8"/>
    <w:basedOn w:val="Standard"/>
    <w:next w:val="Standard"/>
    <w:link w:val="berschrift8Zchn"/>
    <w:unhideWhenUsed/>
    <w:qFormat/>
    <w:rsid w:val="00EB5933"/>
    <w:pPr>
      <w:numPr>
        <w:ilvl w:val="7"/>
        <w:numId w:val="24"/>
      </w:numPr>
      <w:outlineLvl w:val="7"/>
    </w:pPr>
    <w:rPr>
      <w:rFonts w:eastAsiaTheme="majorEastAsia" w:cstheme="majorBidi"/>
      <w:szCs w:val="20"/>
      <w:lang w:eastAsia="zh-CN"/>
    </w:rPr>
  </w:style>
  <w:style w:type="paragraph" w:styleId="berschrift9">
    <w:name w:val="heading 9"/>
    <w:basedOn w:val="Standard"/>
    <w:next w:val="Standard"/>
    <w:link w:val="berschrift9Zchn"/>
    <w:unhideWhenUsed/>
    <w:qFormat/>
    <w:rsid w:val="006840F3"/>
    <w:pPr>
      <w:numPr>
        <w:ilvl w:val="8"/>
        <w:numId w:val="24"/>
      </w:numPr>
      <w:outlineLvl w:val="8"/>
    </w:pPr>
    <w:rPr>
      <w:rFonts w:eastAsiaTheme="majorEastAsia" w:cstheme="majorBidi"/>
      <w:iCs/>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paragraph">
    <w:name w:val="Heading paragraph"/>
    <w:basedOn w:val="Standard"/>
    <w:next w:val="Standard"/>
    <w:rsid w:val="00EB1749"/>
    <w:pPr>
      <w:tabs>
        <w:tab w:val="center" w:pos="57"/>
      </w:tabs>
      <w:spacing w:after="120"/>
      <w:jc w:val="center"/>
    </w:pPr>
    <w:rPr>
      <w:rFonts w:eastAsiaTheme="minorEastAsia"/>
      <w:b/>
      <w:lang w:eastAsia="zh-CN"/>
    </w:rPr>
  </w:style>
  <w:style w:type="paragraph" w:styleId="Kopfzeile">
    <w:name w:val="header"/>
    <w:basedOn w:val="Standard"/>
    <w:rsid w:val="00EB1749"/>
    <w:pPr>
      <w:tabs>
        <w:tab w:val="center" w:pos="4320"/>
        <w:tab w:val="right" w:pos="8640"/>
      </w:tabs>
    </w:pPr>
    <w:rPr>
      <w:rFonts w:eastAsiaTheme="minorEastAsia"/>
      <w:lang w:eastAsia="zh-CN"/>
    </w:rPr>
  </w:style>
  <w:style w:type="paragraph" w:styleId="Fuzeile">
    <w:name w:val="footer"/>
    <w:basedOn w:val="Standard"/>
    <w:rsid w:val="00F04C5E"/>
    <w:pPr>
      <w:tabs>
        <w:tab w:val="center" w:pos="4320"/>
        <w:tab w:val="right" w:pos="8640"/>
      </w:tabs>
      <w:jc w:val="center"/>
    </w:pPr>
    <w:rPr>
      <w:rFonts w:eastAsiaTheme="minorEastAsia"/>
      <w:sz w:val="18"/>
      <w:lang w:eastAsia="zh-CN"/>
    </w:rPr>
  </w:style>
  <w:style w:type="paragraph" w:customStyle="1" w:styleId="bullet3">
    <w:name w:val="bullet 3"/>
    <w:basedOn w:val="Standard"/>
    <w:rsid w:val="00D07423"/>
    <w:pPr>
      <w:numPr>
        <w:numId w:val="9"/>
      </w:numPr>
      <w:spacing w:after="120"/>
    </w:pPr>
    <w:rPr>
      <w:rFonts w:eastAsiaTheme="minorEastAsia"/>
      <w:lang w:eastAsia="zh-CN"/>
    </w:rPr>
  </w:style>
  <w:style w:type="paragraph" w:customStyle="1" w:styleId="bullet2">
    <w:name w:val="bullet 2"/>
    <w:basedOn w:val="Standard"/>
    <w:rsid w:val="00D07423"/>
    <w:pPr>
      <w:numPr>
        <w:numId w:val="2"/>
      </w:numPr>
      <w:spacing w:after="120"/>
    </w:pPr>
    <w:rPr>
      <w:rFonts w:eastAsiaTheme="minorEastAsia"/>
      <w:lang w:val="de-DE" w:eastAsia="zh-CN"/>
    </w:rPr>
  </w:style>
  <w:style w:type="paragraph" w:styleId="Index1">
    <w:name w:val="index 1"/>
    <w:basedOn w:val="Standard"/>
    <w:next w:val="Standard"/>
    <w:autoRedefine/>
    <w:semiHidden/>
    <w:rsid w:val="0067340D"/>
    <w:pPr>
      <w:ind w:left="220" w:hanging="220"/>
    </w:pPr>
    <w:rPr>
      <w:rFonts w:eastAsiaTheme="minorEastAsia"/>
      <w:lang w:eastAsia="zh-CN"/>
    </w:rPr>
  </w:style>
  <w:style w:type="paragraph" w:customStyle="1" w:styleId="bullet1">
    <w:name w:val="bullet 1"/>
    <w:basedOn w:val="Standard"/>
    <w:rsid w:val="009C0D38"/>
    <w:pPr>
      <w:numPr>
        <w:numId w:val="3"/>
      </w:numPr>
      <w:spacing w:after="120"/>
    </w:pPr>
    <w:rPr>
      <w:rFonts w:eastAsiaTheme="minorEastAsia"/>
      <w:lang w:val="de-DE" w:eastAsia="zh-CN"/>
    </w:rPr>
  </w:style>
  <w:style w:type="paragraph" w:styleId="Verzeichnis2">
    <w:name w:val="toc 2"/>
    <w:basedOn w:val="Standard"/>
    <w:next w:val="Standard"/>
    <w:autoRedefine/>
    <w:semiHidden/>
    <w:rsid w:val="008B5708"/>
    <w:pPr>
      <w:tabs>
        <w:tab w:val="left" w:pos="567"/>
        <w:tab w:val="right" w:leader="dot" w:pos="9470"/>
      </w:tabs>
      <w:spacing w:after="120"/>
    </w:pPr>
    <w:rPr>
      <w:rFonts w:eastAsiaTheme="minorEastAsia"/>
      <w:lang w:eastAsia="zh-CN"/>
    </w:rPr>
  </w:style>
  <w:style w:type="paragraph" w:styleId="Verzeichnis1">
    <w:name w:val="toc 1"/>
    <w:basedOn w:val="Standard"/>
    <w:next w:val="Standard"/>
    <w:autoRedefine/>
    <w:semiHidden/>
    <w:rsid w:val="00913DB6"/>
    <w:rPr>
      <w:rFonts w:eastAsiaTheme="minorEastAsia"/>
      <w:lang w:eastAsia="zh-CN"/>
    </w:rPr>
  </w:style>
  <w:style w:type="paragraph" w:styleId="Verzeichnis3">
    <w:name w:val="toc 3"/>
    <w:basedOn w:val="Standard"/>
    <w:next w:val="Standard"/>
    <w:autoRedefine/>
    <w:semiHidden/>
    <w:rsid w:val="00913DB6"/>
    <w:pPr>
      <w:spacing w:after="120"/>
      <w:ind w:left="567"/>
    </w:pPr>
    <w:rPr>
      <w:rFonts w:eastAsiaTheme="minorEastAsia"/>
      <w:lang w:eastAsia="zh-CN"/>
    </w:rPr>
  </w:style>
  <w:style w:type="paragraph" w:styleId="Verzeichnis9">
    <w:name w:val="toc 9"/>
    <w:basedOn w:val="Standard"/>
    <w:next w:val="Standard"/>
    <w:autoRedefine/>
    <w:semiHidden/>
    <w:rsid w:val="00913DB6"/>
    <w:pPr>
      <w:ind w:left="1760"/>
    </w:pPr>
    <w:rPr>
      <w:rFonts w:eastAsiaTheme="minorEastAsia"/>
      <w:lang w:eastAsia="zh-CN"/>
    </w:rPr>
  </w:style>
  <w:style w:type="paragraph" w:styleId="Verzeichnis4">
    <w:name w:val="toc 4"/>
    <w:basedOn w:val="Standard"/>
    <w:next w:val="Standard"/>
    <w:autoRedefine/>
    <w:semiHidden/>
    <w:rsid w:val="00EE6C7B"/>
    <w:pPr>
      <w:spacing w:after="120"/>
      <w:ind w:left="658"/>
    </w:pPr>
    <w:rPr>
      <w:rFonts w:eastAsiaTheme="minorEastAsia"/>
      <w:lang w:eastAsia="zh-CN"/>
    </w:rPr>
  </w:style>
  <w:style w:type="paragraph" w:styleId="Listennummer">
    <w:name w:val="List Number"/>
    <w:basedOn w:val="Standard"/>
    <w:rsid w:val="00EB1749"/>
    <w:pPr>
      <w:numPr>
        <w:numId w:val="6"/>
      </w:numPr>
      <w:spacing w:after="120"/>
    </w:pPr>
    <w:rPr>
      <w:rFonts w:eastAsiaTheme="minorEastAsia"/>
      <w:lang w:eastAsia="zh-CN"/>
    </w:rPr>
  </w:style>
  <w:style w:type="paragraph" w:styleId="Listennummer3">
    <w:name w:val="List Number 3"/>
    <w:basedOn w:val="Standard"/>
    <w:next w:val="Standard"/>
    <w:rsid w:val="00EB1749"/>
    <w:pPr>
      <w:numPr>
        <w:numId w:val="7"/>
      </w:numPr>
      <w:spacing w:after="120"/>
      <w:ind w:left="1417" w:hanging="737"/>
    </w:pPr>
    <w:rPr>
      <w:rFonts w:eastAsiaTheme="minorEastAsia"/>
      <w:lang w:eastAsia="zh-CN"/>
    </w:rPr>
  </w:style>
  <w:style w:type="paragraph" w:styleId="Listennummer4">
    <w:name w:val="List Number 4"/>
    <w:basedOn w:val="Standard"/>
    <w:rsid w:val="00677361"/>
    <w:pPr>
      <w:numPr>
        <w:numId w:val="8"/>
      </w:numPr>
      <w:spacing w:after="120"/>
      <w:ind w:left="1417" w:hanging="737"/>
    </w:pPr>
    <w:rPr>
      <w:rFonts w:eastAsiaTheme="minorEastAsia"/>
      <w:lang w:eastAsia="zh-CN"/>
    </w:rPr>
  </w:style>
  <w:style w:type="paragraph" w:styleId="Listenabsatz">
    <w:name w:val="List Paragraph"/>
    <w:basedOn w:val="Standard"/>
    <w:uiPriority w:val="34"/>
    <w:qFormat/>
    <w:rsid w:val="00885569"/>
    <w:pPr>
      <w:ind w:left="720"/>
      <w:contextualSpacing/>
    </w:pPr>
    <w:rPr>
      <w:rFonts w:eastAsiaTheme="minorEastAsia"/>
      <w:lang w:eastAsia="zh-CN"/>
    </w:rPr>
  </w:style>
  <w:style w:type="character" w:customStyle="1" w:styleId="berschrift5Zchn">
    <w:name w:val="Überschrift 5 Zchn"/>
    <w:basedOn w:val="Absatz-Standardschriftart"/>
    <w:link w:val="berschrift5"/>
    <w:rsid w:val="00C151E2"/>
    <w:rPr>
      <w:rFonts w:ascii="Arial" w:eastAsiaTheme="majorEastAsia" w:hAnsi="Arial" w:cstheme="majorBidi"/>
      <w:sz w:val="22"/>
      <w:szCs w:val="24"/>
    </w:rPr>
  </w:style>
  <w:style w:type="character" w:customStyle="1" w:styleId="berschrift6Zchn">
    <w:name w:val="Überschrift 6 Zchn"/>
    <w:basedOn w:val="Absatz-Standardschriftart"/>
    <w:link w:val="berschrift6"/>
    <w:rsid w:val="006840F3"/>
    <w:rPr>
      <w:rFonts w:ascii="Arial" w:eastAsiaTheme="majorEastAsia" w:hAnsi="Arial" w:cstheme="majorBidi"/>
      <w:iCs/>
      <w:sz w:val="22"/>
      <w:szCs w:val="24"/>
    </w:rPr>
  </w:style>
  <w:style w:type="character" w:customStyle="1" w:styleId="berschrift7Zchn">
    <w:name w:val="Überschrift 7 Zchn"/>
    <w:basedOn w:val="Absatz-Standardschriftart"/>
    <w:link w:val="berschrift7"/>
    <w:rsid w:val="00EB5933"/>
    <w:rPr>
      <w:rFonts w:ascii="Arial" w:eastAsiaTheme="majorEastAsia" w:hAnsi="Arial" w:cstheme="majorBidi"/>
      <w:iCs/>
      <w:sz w:val="22"/>
      <w:szCs w:val="24"/>
    </w:rPr>
  </w:style>
  <w:style w:type="character" w:customStyle="1" w:styleId="berschrift8Zchn">
    <w:name w:val="Überschrift 8 Zchn"/>
    <w:basedOn w:val="Absatz-Standardschriftart"/>
    <w:link w:val="berschrift8"/>
    <w:rsid w:val="00EB5933"/>
    <w:rPr>
      <w:rFonts w:ascii="Arial" w:eastAsiaTheme="majorEastAsia" w:hAnsi="Arial" w:cstheme="majorBidi"/>
      <w:sz w:val="22"/>
    </w:rPr>
  </w:style>
  <w:style w:type="character" w:customStyle="1" w:styleId="berschrift9Zchn">
    <w:name w:val="Überschrift 9 Zchn"/>
    <w:basedOn w:val="Absatz-Standardschriftart"/>
    <w:link w:val="berschrift9"/>
    <w:rsid w:val="006840F3"/>
    <w:rPr>
      <w:rFonts w:ascii="Arial" w:eastAsiaTheme="majorEastAsia" w:hAnsi="Arial" w:cstheme="majorBidi"/>
      <w:iCs/>
      <w:sz w:val="22"/>
    </w:rPr>
  </w:style>
  <w:style w:type="character" w:styleId="Hyperlink">
    <w:name w:val="Hyperlink"/>
    <w:basedOn w:val="Absatz-Standardschriftart"/>
    <w:unhideWhenUsed/>
    <w:rsid w:val="005879A9"/>
    <w:rPr>
      <w:color w:val="0000FF" w:themeColor="hyperlink"/>
      <w:u w:val="single"/>
    </w:rPr>
  </w:style>
  <w:style w:type="character" w:styleId="NichtaufgelsteErwhnung">
    <w:name w:val="Unresolved Mention"/>
    <w:basedOn w:val="Absatz-Standardschriftart"/>
    <w:uiPriority w:val="99"/>
    <w:semiHidden/>
    <w:unhideWhenUsed/>
    <w:rsid w:val="005879A9"/>
    <w:rPr>
      <w:color w:val="605E5C"/>
      <w:shd w:val="clear" w:color="auto" w:fill="E1DFDD"/>
    </w:rPr>
  </w:style>
  <w:style w:type="character" w:styleId="BesuchterLink">
    <w:name w:val="FollowedHyperlink"/>
    <w:basedOn w:val="Absatz-Standardschriftart"/>
    <w:semiHidden/>
    <w:unhideWhenUsed/>
    <w:rsid w:val="00E32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11216</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Luther</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Melchior, Ole</dc:creator>
  <cp:keywords>, docId:B5EF0B9C9ECDBF1AD7F6E99F7760A6CC</cp:keywords>
  <dc:description/>
  <cp:lastModifiedBy>Melchior, Ole</cp:lastModifiedBy>
  <cp:revision>3</cp:revision>
  <cp:lastPrinted>1900-12-31T22:00:00Z</cp:lastPrinted>
  <dcterms:created xsi:type="dcterms:W3CDTF">2025-09-22T16:38:00Z</dcterms:created>
  <dcterms:modified xsi:type="dcterms:W3CDTF">2025-09-22T16:43:00Z</dcterms:modified>
</cp:coreProperties>
</file>