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7418" w14:textId="77777777" w:rsidR="00E82C13" w:rsidRPr="00536372" w:rsidRDefault="00E82C13" w:rsidP="00E82C13">
      <w:pPr>
        <w:jc w:val="left"/>
        <w:rPr>
          <w:rFonts w:cs="Arial"/>
          <w:b/>
          <w:bCs/>
          <w:color w:val="000000"/>
          <w:sz w:val="28"/>
          <w:szCs w:val="28"/>
          <w:lang w:val="de-DE" w:eastAsia="zh-CN"/>
        </w:rPr>
      </w:pPr>
      <w:r w:rsidRPr="00536372">
        <w:rPr>
          <w:rFonts w:cs="Arial"/>
          <w:b/>
          <w:bCs/>
          <w:color w:val="000000"/>
          <w:sz w:val="28"/>
          <w:szCs w:val="28"/>
          <w:lang w:val="de-DE" w:eastAsia="zh-CN"/>
        </w:rPr>
        <w:t>Neues</w:t>
      </w:r>
      <w:r w:rsidR="0066610A" w:rsidRPr="00536372">
        <w:rPr>
          <w:rFonts w:cs="Arial"/>
          <w:b/>
          <w:bCs/>
          <w:color w:val="000000"/>
          <w:sz w:val="28"/>
          <w:szCs w:val="28"/>
          <w:lang w:val="de-DE" w:eastAsia="zh-CN"/>
        </w:rPr>
        <w:t xml:space="preserve"> </w:t>
      </w:r>
      <w:r w:rsidR="000F7B30" w:rsidRPr="00536372">
        <w:rPr>
          <w:rFonts w:cs="Arial"/>
          <w:b/>
          <w:bCs/>
          <w:color w:val="000000"/>
          <w:sz w:val="28"/>
          <w:szCs w:val="28"/>
          <w:lang w:val="de-DE" w:eastAsia="zh-CN"/>
        </w:rPr>
        <w:t>aus</w:t>
      </w:r>
      <w:r w:rsidR="0066610A" w:rsidRPr="00536372">
        <w:rPr>
          <w:rFonts w:cs="Arial"/>
          <w:b/>
          <w:bCs/>
          <w:color w:val="000000"/>
          <w:sz w:val="28"/>
          <w:szCs w:val="28"/>
          <w:lang w:val="de-DE" w:eastAsia="zh-CN"/>
        </w:rPr>
        <w:t xml:space="preserve"> der Exportkontrolle: </w:t>
      </w:r>
    </w:p>
    <w:p w14:paraId="0376531B" w14:textId="33FB82FC" w:rsidR="006E41F4" w:rsidRPr="00536372" w:rsidRDefault="00D5184C" w:rsidP="00E82C13">
      <w:pPr>
        <w:jc w:val="left"/>
        <w:rPr>
          <w:rFonts w:cs="Arial"/>
          <w:b/>
          <w:bCs/>
          <w:color w:val="000000"/>
          <w:sz w:val="28"/>
          <w:szCs w:val="28"/>
          <w:lang w:val="de-DE" w:eastAsia="zh-CN"/>
        </w:rPr>
      </w:pPr>
      <w:r w:rsidRPr="00536372">
        <w:rPr>
          <w:rFonts w:cs="Arial"/>
          <w:b/>
          <w:bCs/>
          <w:color w:val="000000"/>
          <w:sz w:val="28"/>
          <w:szCs w:val="28"/>
          <w:lang w:val="de-DE" w:eastAsia="zh-CN"/>
        </w:rPr>
        <w:t>Russland-</w:t>
      </w:r>
      <w:r w:rsidR="00864E99" w:rsidRPr="00536372">
        <w:rPr>
          <w:rFonts w:cs="Arial"/>
          <w:b/>
          <w:bCs/>
          <w:color w:val="000000"/>
          <w:sz w:val="28"/>
          <w:szCs w:val="28"/>
          <w:lang w:val="de-DE" w:eastAsia="zh-CN"/>
        </w:rPr>
        <w:t>/Belarus-</w:t>
      </w:r>
      <w:r w:rsidRPr="00536372">
        <w:rPr>
          <w:rFonts w:cs="Arial"/>
          <w:b/>
          <w:bCs/>
          <w:color w:val="000000"/>
          <w:sz w:val="28"/>
          <w:szCs w:val="28"/>
          <w:lang w:val="de-DE" w:eastAsia="zh-CN"/>
        </w:rPr>
        <w:t>Embargo</w:t>
      </w:r>
      <w:r w:rsidR="00E82C13" w:rsidRPr="00536372">
        <w:rPr>
          <w:rFonts w:cs="Arial"/>
          <w:b/>
          <w:bCs/>
          <w:color w:val="000000"/>
          <w:sz w:val="28"/>
          <w:szCs w:val="28"/>
          <w:lang w:val="de-DE" w:eastAsia="zh-CN"/>
        </w:rPr>
        <w:t xml:space="preserve"> –</w:t>
      </w:r>
      <w:r w:rsidR="007769FA" w:rsidRPr="00536372">
        <w:rPr>
          <w:rFonts w:cs="Arial"/>
          <w:b/>
          <w:bCs/>
          <w:color w:val="000000"/>
          <w:sz w:val="28"/>
          <w:szCs w:val="28"/>
          <w:lang w:val="de-DE" w:eastAsia="zh-CN"/>
        </w:rPr>
        <w:t xml:space="preserve"> </w:t>
      </w:r>
      <w:r w:rsidR="00864E99" w:rsidRPr="00536372">
        <w:rPr>
          <w:rFonts w:cs="Arial"/>
          <w:b/>
          <w:bCs/>
          <w:color w:val="000000"/>
          <w:sz w:val="28"/>
          <w:szCs w:val="28"/>
          <w:lang w:val="de-DE" w:eastAsia="zh-CN"/>
        </w:rPr>
        <w:t xml:space="preserve">18. Sanktionspaket </w:t>
      </w:r>
      <w:r w:rsidR="00294840" w:rsidRPr="00536372">
        <w:rPr>
          <w:rFonts w:cs="Arial"/>
          <w:b/>
          <w:bCs/>
          <w:color w:val="000000"/>
          <w:sz w:val="28"/>
          <w:szCs w:val="28"/>
          <w:lang w:val="de-DE" w:eastAsia="zh-CN"/>
        </w:rPr>
        <w:t xml:space="preserve">der EU </w:t>
      </w:r>
      <w:r w:rsidR="007769FA" w:rsidRPr="00536372">
        <w:rPr>
          <w:rFonts w:cs="Arial"/>
          <w:b/>
          <w:bCs/>
          <w:color w:val="000000"/>
          <w:sz w:val="28"/>
          <w:szCs w:val="28"/>
          <w:lang w:val="de-DE" w:eastAsia="zh-CN"/>
        </w:rPr>
        <w:t xml:space="preserve">vom </w:t>
      </w:r>
      <w:r w:rsidR="00864E99" w:rsidRPr="00536372">
        <w:rPr>
          <w:rFonts w:cs="Arial"/>
          <w:b/>
          <w:bCs/>
          <w:color w:val="000000"/>
          <w:sz w:val="28"/>
          <w:szCs w:val="28"/>
          <w:lang w:val="de-DE" w:eastAsia="zh-CN"/>
        </w:rPr>
        <w:t>18.07.2025</w:t>
      </w:r>
    </w:p>
    <w:p w14:paraId="55C1A403" w14:textId="77777777" w:rsidR="00F22D1B" w:rsidRPr="00536372" w:rsidRDefault="00F22D1B" w:rsidP="00E82C13">
      <w:pPr>
        <w:jc w:val="left"/>
        <w:rPr>
          <w:rFonts w:cs="Arial"/>
          <w:b/>
          <w:bCs/>
          <w:color w:val="000000"/>
          <w:sz w:val="28"/>
          <w:szCs w:val="28"/>
          <w:lang w:val="de-DE" w:eastAsia="zh-CN"/>
        </w:rPr>
      </w:pPr>
    </w:p>
    <w:p w14:paraId="0F78D372" w14:textId="0A8A07A7" w:rsidR="008A04E6" w:rsidRPr="00536372" w:rsidRDefault="00762CCB" w:rsidP="00E82C13">
      <w:pPr>
        <w:jc w:val="left"/>
        <w:rPr>
          <w:sz w:val="24"/>
          <w:lang w:val="de-DE"/>
        </w:rPr>
      </w:pPr>
      <w:bookmarkStart w:id="0" w:name="_Hlk126748312"/>
      <w:r>
        <w:rPr>
          <w:sz w:val="24"/>
          <w:lang w:val="de-DE"/>
        </w:rPr>
        <w:t>G</w:t>
      </w:r>
      <w:r w:rsidR="008A04E6" w:rsidRPr="00536372">
        <w:rPr>
          <w:sz w:val="24"/>
          <w:lang w:val="de-DE"/>
        </w:rPr>
        <w:t>ut ein</w:t>
      </w:r>
      <w:r>
        <w:rPr>
          <w:sz w:val="24"/>
          <w:lang w:val="de-DE"/>
        </w:rPr>
        <w:t xml:space="preserve"> J</w:t>
      </w:r>
      <w:r w:rsidR="008A04E6" w:rsidRPr="00536372">
        <w:rPr>
          <w:sz w:val="24"/>
          <w:lang w:val="de-DE"/>
        </w:rPr>
        <w:t xml:space="preserve">ahr </w:t>
      </w:r>
      <w:r>
        <w:rPr>
          <w:sz w:val="24"/>
          <w:lang w:val="de-DE"/>
        </w:rPr>
        <w:t xml:space="preserve">lang </w:t>
      </w:r>
      <w:r w:rsidR="008A04E6" w:rsidRPr="00536372">
        <w:rPr>
          <w:sz w:val="24"/>
          <w:lang w:val="de-DE"/>
        </w:rPr>
        <w:t xml:space="preserve">erschien es </w:t>
      </w:r>
      <w:r w:rsidR="00C0358B">
        <w:rPr>
          <w:sz w:val="24"/>
          <w:lang w:val="de-DE"/>
        </w:rPr>
        <w:t>vergleichsweise</w:t>
      </w:r>
      <w:r w:rsidR="008A04E6" w:rsidRPr="00536372">
        <w:rPr>
          <w:sz w:val="24"/>
          <w:lang w:val="de-DE"/>
        </w:rPr>
        <w:t xml:space="preserve"> ruhig für die im- und exportierenden Unternehmen: Während das 14. Sanktionspaket </w:t>
      </w:r>
      <w:r w:rsidR="005A5B20" w:rsidRPr="00536372">
        <w:rPr>
          <w:sz w:val="24"/>
          <w:lang w:val="de-DE"/>
        </w:rPr>
        <w:t xml:space="preserve">zur Verschärfung </w:t>
      </w:r>
      <w:r w:rsidR="00235905" w:rsidRPr="00536372">
        <w:rPr>
          <w:sz w:val="24"/>
          <w:lang w:val="de-DE"/>
        </w:rPr>
        <w:t>d</w:t>
      </w:r>
      <w:r w:rsidR="00BD3A8A" w:rsidRPr="00536372">
        <w:rPr>
          <w:sz w:val="24"/>
          <w:lang w:val="de-DE"/>
        </w:rPr>
        <w:t>es Russland- und Belarus-Embargos</w:t>
      </w:r>
      <w:r w:rsidR="005A5B20" w:rsidRPr="00536372">
        <w:rPr>
          <w:sz w:val="24"/>
          <w:lang w:val="de-DE"/>
        </w:rPr>
        <w:t xml:space="preserve"> vom 24</w:t>
      </w:r>
      <w:r w:rsidR="006616BE" w:rsidRPr="00536372">
        <w:rPr>
          <w:sz w:val="24"/>
          <w:lang w:val="de-DE"/>
        </w:rPr>
        <w:t>.</w:t>
      </w:r>
      <w:r w:rsidR="00294840" w:rsidRPr="00536372">
        <w:rPr>
          <w:sz w:val="24"/>
          <w:lang w:val="de-DE"/>
        </w:rPr>
        <w:t xml:space="preserve"> </w:t>
      </w:r>
      <w:r w:rsidR="00184D58" w:rsidRPr="00536372">
        <w:rPr>
          <w:sz w:val="24"/>
          <w:lang w:val="de-DE"/>
        </w:rPr>
        <w:t>b</w:t>
      </w:r>
      <w:r w:rsidR="00294840" w:rsidRPr="00536372">
        <w:rPr>
          <w:sz w:val="24"/>
          <w:lang w:val="de-DE"/>
        </w:rPr>
        <w:t>zw. 29.</w:t>
      </w:r>
      <w:r w:rsidR="005A5B20" w:rsidRPr="00536372">
        <w:rPr>
          <w:sz w:val="24"/>
          <w:lang w:val="de-DE"/>
        </w:rPr>
        <w:t xml:space="preserve">06.2024 noch </w:t>
      </w:r>
      <w:r w:rsidR="00294840" w:rsidRPr="00536372">
        <w:rPr>
          <w:sz w:val="24"/>
          <w:lang w:val="de-DE"/>
        </w:rPr>
        <w:t xml:space="preserve">so </w:t>
      </w:r>
      <w:r w:rsidR="005A5B20" w:rsidRPr="00536372">
        <w:rPr>
          <w:sz w:val="24"/>
          <w:lang w:val="de-DE"/>
        </w:rPr>
        <w:t xml:space="preserve">„exotische“ </w:t>
      </w:r>
      <w:r w:rsidR="00B7770B" w:rsidRPr="00536372">
        <w:rPr>
          <w:sz w:val="24"/>
          <w:lang w:val="de-DE"/>
        </w:rPr>
        <w:t xml:space="preserve">und weitreichende </w:t>
      </w:r>
      <w:r w:rsidR="005A5B20" w:rsidRPr="00536372">
        <w:rPr>
          <w:sz w:val="24"/>
          <w:lang w:val="de-DE"/>
        </w:rPr>
        <w:t xml:space="preserve">Neuerungen wie </w:t>
      </w:r>
      <w:r w:rsidR="00DC5806" w:rsidRPr="00536372">
        <w:rPr>
          <w:sz w:val="24"/>
          <w:lang w:val="de-DE"/>
        </w:rPr>
        <w:t xml:space="preserve">z.B. </w:t>
      </w:r>
      <w:r w:rsidR="005A5B20" w:rsidRPr="00536372">
        <w:rPr>
          <w:sz w:val="24"/>
          <w:lang w:val="de-DE"/>
        </w:rPr>
        <w:t xml:space="preserve">eine „Best-Efforts-Obligation“ </w:t>
      </w:r>
      <w:r w:rsidR="00D0787C" w:rsidRPr="00536372">
        <w:rPr>
          <w:sz w:val="24"/>
          <w:lang w:val="de-DE"/>
        </w:rPr>
        <w:t>und</w:t>
      </w:r>
      <w:r w:rsidR="005A5B20" w:rsidRPr="00536372">
        <w:rPr>
          <w:sz w:val="24"/>
          <w:lang w:val="de-DE"/>
        </w:rPr>
        <w:t xml:space="preserve"> eine </w:t>
      </w:r>
      <w:r w:rsidR="00184D58" w:rsidRPr="00536372">
        <w:rPr>
          <w:sz w:val="24"/>
          <w:lang w:val="de-DE"/>
        </w:rPr>
        <w:t>„</w:t>
      </w:r>
      <w:r w:rsidR="005A5B20" w:rsidRPr="00536372">
        <w:rPr>
          <w:sz w:val="24"/>
          <w:lang w:val="de-DE"/>
        </w:rPr>
        <w:t>Due-Diligence-</w:t>
      </w:r>
      <w:r w:rsidR="00D0787C" w:rsidRPr="00536372">
        <w:rPr>
          <w:sz w:val="24"/>
          <w:lang w:val="de-DE"/>
        </w:rPr>
        <w:t>Obligation</w:t>
      </w:r>
      <w:r w:rsidR="00184D58" w:rsidRPr="00536372">
        <w:rPr>
          <w:sz w:val="24"/>
          <w:lang w:val="de-DE"/>
        </w:rPr>
        <w:t>“</w:t>
      </w:r>
      <w:r w:rsidR="005A5B20" w:rsidRPr="00536372">
        <w:rPr>
          <w:sz w:val="24"/>
          <w:lang w:val="de-DE"/>
        </w:rPr>
        <w:t xml:space="preserve"> </w:t>
      </w:r>
      <w:r w:rsidR="00294840" w:rsidRPr="00536372">
        <w:rPr>
          <w:sz w:val="24"/>
          <w:lang w:val="de-DE"/>
        </w:rPr>
        <w:t xml:space="preserve">mit sich brachte </w:t>
      </w:r>
      <w:r w:rsidR="00DC5806" w:rsidRPr="00536372">
        <w:rPr>
          <w:sz w:val="24"/>
          <w:lang w:val="de-DE"/>
        </w:rPr>
        <w:t>oder</w:t>
      </w:r>
      <w:r w:rsidR="00294840" w:rsidRPr="00536372">
        <w:rPr>
          <w:sz w:val="24"/>
          <w:lang w:val="de-DE"/>
        </w:rPr>
        <w:t xml:space="preserve"> Erweiterungen bei der „</w:t>
      </w:r>
      <w:proofErr w:type="spellStart"/>
      <w:r w:rsidR="00294840" w:rsidRPr="00536372">
        <w:rPr>
          <w:sz w:val="24"/>
          <w:lang w:val="de-DE"/>
        </w:rPr>
        <w:t>No</w:t>
      </w:r>
      <w:proofErr w:type="spellEnd"/>
      <w:r w:rsidR="00294840" w:rsidRPr="00536372">
        <w:rPr>
          <w:sz w:val="24"/>
          <w:lang w:val="de-DE"/>
        </w:rPr>
        <w:t>-Russia-</w:t>
      </w:r>
      <w:proofErr w:type="spellStart"/>
      <w:r w:rsidR="00294840" w:rsidRPr="00536372">
        <w:rPr>
          <w:sz w:val="24"/>
          <w:lang w:val="de-DE"/>
        </w:rPr>
        <w:t>Clause</w:t>
      </w:r>
      <w:proofErr w:type="spellEnd"/>
      <w:r w:rsidR="00294840" w:rsidRPr="00536372">
        <w:rPr>
          <w:sz w:val="24"/>
          <w:lang w:val="de-DE"/>
        </w:rPr>
        <w:t>“ vorsah bzw. eine „</w:t>
      </w:r>
      <w:proofErr w:type="spellStart"/>
      <w:r w:rsidR="00294840" w:rsidRPr="00536372">
        <w:rPr>
          <w:sz w:val="24"/>
          <w:lang w:val="de-DE"/>
        </w:rPr>
        <w:t>No</w:t>
      </w:r>
      <w:proofErr w:type="spellEnd"/>
      <w:r w:rsidR="00294840" w:rsidRPr="00536372">
        <w:rPr>
          <w:sz w:val="24"/>
          <w:lang w:val="de-DE"/>
        </w:rPr>
        <w:t>-Belarus-</w:t>
      </w:r>
      <w:proofErr w:type="spellStart"/>
      <w:r w:rsidR="00294840" w:rsidRPr="00536372">
        <w:rPr>
          <w:sz w:val="24"/>
          <w:lang w:val="de-DE"/>
        </w:rPr>
        <w:t>Clause</w:t>
      </w:r>
      <w:proofErr w:type="spellEnd"/>
      <w:r w:rsidR="00294840" w:rsidRPr="00536372">
        <w:rPr>
          <w:sz w:val="24"/>
          <w:lang w:val="de-DE"/>
        </w:rPr>
        <w:t>“ erstmals einführte</w:t>
      </w:r>
      <w:r w:rsidR="00184D58" w:rsidRPr="00536372">
        <w:rPr>
          <w:sz w:val="24"/>
          <w:lang w:val="de-DE"/>
        </w:rPr>
        <w:t xml:space="preserve">, enthielten die folgenden Sanktionspakete Nr. 15, 16 und 17 </w:t>
      </w:r>
      <w:r w:rsidR="00A10D78" w:rsidRPr="00536372">
        <w:rPr>
          <w:sz w:val="24"/>
          <w:lang w:val="de-DE"/>
        </w:rPr>
        <w:t xml:space="preserve">– </w:t>
      </w:r>
      <w:r w:rsidR="002C7867" w:rsidRPr="00536372">
        <w:rPr>
          <w:sz w:val="24"/>
          <w:lang w:val="de-DE"/>
        </w:rPr>
        <w:t xml:space="preserve">jedenfalls für den Handel </w:t>
      </w:r>
      <w:r w:rsidR="00A10D78" w:rsidRPr="00536372">
        <w:rPr>
          <w:sz w:val="24"/>
          <w:lang w:val="de-DE"/>
        </w:rPr>
        <w:t>–</w:t>
      </w:r>
      <w:r w:rsidR="00DC66AF">
        <w:rPr>
          <w:sz w:val="24"/>
          <w:lang w:val="de-DE"/>
        </w:rPr>
        <w:t xml:space="preserve"> </w:t>
      </w:r>
      <w:r w:rsidR="00184D58" w:rsidRPr="00536372">
        <w:rPr>
          <w:sz w:val="24"/>
          <w:lang w:val="de-DE"/>
        </w:rPr>
        <w:t xml:space="preserve">keine </w:t>
      </w:r>
      <w:r w:rsidR="001C3FE2" w:rsidRPr="00536372">
        <w:rPr>
          <w:sz w:val="24"/>
          <w:lang w:val="de-DE"/>
        </w:rPr>
        <w:t>groß</w:t>
      </w:r>
      <w:r w:rsidR="00D0787C" w:rsidRPr="00536372">
        <w:rPr>
          <w:sz w:val="24"/>
          <w:lang w:val="de-DE"/>
        </w:rPr>
        <w:t>en</w:t>
      </w:r>
      <w:r w:rsidR="001C3FE2" w:rsidRPr="00536372">
        <w:rPr>
          <w:sz w:val="24"/>
          <w:lang w:val="de-DE"/>
        </w:rPr>
        <w:t xml:space="preserve"> Überraschungen</w:t>
      </w:r>
      <w:r w:rsidR="00DC66AF">
        <w:rPr>
          <w:sz w:val="24"/>
          <w:lang w:val="de-DE"/>
        </w:rPr>
        <w:t xml:space="preserve"> oder wesentlichen Neuerungen</w:t>
      </w:r>
      <w:r w:rsidR="006616BE" w:rsidRPr="00536372">
        <w:rPr>
          <w:sz w:val="24"/>
          <w:lang w:val="de-DE"/>
        </w:rPr>
        <w:t>:</w:t>
      </w:r>
      <w:r w:rsidR="001C3FE2" w:rsidRPr="00536372">
        <w:rPr>
          <w:sz w:val="24"/>
          <w:lang w:val="de-DE"/>
        </w:rPr>
        <w:t xml:space="preserve"> </w:t>
      </w:r>
      <w:r w:rsidR="00F750AA" w:rsidRPr="00536372">
        <w:rPr>
          <w:sz w:val="24"/>
          <w:lang w:val="de-DE"/>
        </w:rPr>
        <w:t xml:space="preserve">Die </w:t>
      </w:r>
      <w:r w:rsidR="001C3FE2" w:rsidRPr="00536372">
        <w:rPr>
          <w:sz w:val="24"/>
          <w:lang w:val="de-DE"/>
        </w:rPr>
        <w:t xml:space="preserve">Namens- und Güterlisten wurden </w:t>
      </w:r>
      <w:r w:rsidR="00B7770B" w:rsidRPr="00536372">
        <w:rPr>
          <w:sz w:val="24"/>
          <w:lang w:val="de-DE"/>
        </w:rPr>
        <w:t xml:space="preserve">erwartungsgemäß </w:t>
      </w:r>
      <w:r w:rsidR="001C3FE2" w:rsidRPr="00536372">
        <w:rPr>
          <w:sz w:val="24"/>
          <w:lang w:val="de-DE"/>
        </w:rPr>
        <w:t>erweitert</w:t>
      </w:r>
      <w:r w:rsidR="00747BC9" w:rsidRPr="00536372">
        <w:rPr>
          <w:sz w:val="24"/>
          <w:lang w:val="de-DE"/>
        </w:rPr>
        <w:t xml:space="preserve">, die </w:t>
      </w:r>
      <w:r w:rsidR="003A39CA" w:rsidRPr="00536372">
        <w:rPr>
          <w:sz w:val="24"/>
          <w:lang w:val="de-DE"/>
        </w:rPr>
        <w:t>Best-Efforts-</w:t>
      </w:r>
      <w:r w:rsidR="00D0787C" w:rsidRPr="00536372">
        <w:rPr>
          <w:sz w:val="24"/>
          <w:lang w:val="de-DE"/>
        </w:rPr>
        <w:t xml:space="preserve"> und Due-Diligence-</w:t>
      </w:r>
      <w:r w:rsidR="003A39CA" w:rsidRPr="00536372">
        <w:rPr>
          <w:sz w:val="24"/>
          <w:lang w:val="de-DE"/>
        </w:rPr>
        <w:t xml:space="preserve">Obligation </w:t>
      </w:r>
      <w:r w:rsidR="00747BC9" w:rsidRPr="00536372">
        <w:rPr>
          <w:sz w:val="24"/>
          <w:lang w:val="de-DE"/>
        </w:rPr>
        <w:t xml:space="preserve">und die bereits bekannten </w:t>
      </w:r>
      <w:r w:rsidR="00752CC4" w:rsidRPr="00536372">
        <w:rPr>
          <w:sz w:val="24"/>
          <w:lang w:val="de-DE"/>
        </w:rPr>
        <w:t>Dienstleistungs- und Software-Verbote</w:t>
      </w:r>
      <w:r w:rsidR="00747BC9" w:rsidRPr="00536372">
        <w:rPr>
          <w:sz w:val="24"/>
          <w:lang w:val="de-DE"/>
        </w:rPr>
        <w:t xml:space="preserve"> </w:t>
      </w:r>
      <w:r w:rsidR="00C0358B">
        <w:rPr>
          <w:sz w:val="24"/>
          <w:lang w:val="de-DE"/>
        </w:rPr>
        <w:t xml:space="preserve">wurden </w:t>
      </w:r>
      <w:r w:rsidR="00B7770B" w:rsidRPr="00536372">
        <w:rPr>
          <w:sz w:val="24"/>
          <w:lang w:val="de-DE"/>
        </w:rPr>
        <w:t>nochmals</w:t>
      </w:r>
      <w:r w:rsidR="00BD3A8A" w:rsidRPr="00536372">
        <w:rPr>
          <w:sz w:val="24"/>
          <w:lang w:val="de-DE"/>
        </w:rPr>
        <w:t xml:space="preserve"> </w:t>
      </w:r>
      <w:r w:rsidR="00747BC9" w:rsidRPr="00536372">
        <w:rPr>
          <w:sz w:val="24"/>
          <w:lang w:val="de-DE"/>
        </w:rPr>
        <w:t>ausgedehnt</w:t>
      </w:r>
      <w:r w:rsidR="00D0787C" w:rsidRPr="00536372">
        <w:rPr>
          <w:sz w:val="24"/>
          <w:lang w:val="de-DE"/>
        </w:rPr>
        <w:t xml:space="preserve"> und das Belarus-Embargo noch mehr an das Russland-Embargo angeglichen</w:t>
      </w:r>
      <w:r w:rsidR="00A10D78" w:rsidRPr="00536372">
        <w:rPr>
          <w:sz w:val="24"/>
          <w:lang w:val="de-DE"/>
        </w:rPr>
        <w:t xml:space="preserve">. </w:t>
      </w:r>
      <w:r w:rsidR="002C7867" w:rsidRPr="00536372">
        <w:rPr>
          <w:sz w:val="24"/>
          <w:lang w:val="de-DE"/>
        </w:rPr>
        <w:t xml:space="preserve">Im Fokus </w:t>
      </w:r>
      <w:r w:rsidR="00B7770B" w:rsidRPr="00536372">
        <w:rPr>
          <w:sz w:val="24"/>
          <w:lang w:val="de-DE"/>
        </w:rPr>
        <w:t xml:space="preserve">der Embargo-Verschärfungen </w:t>
      </w:r>
      <w:r w:rsidR="002C7867" w:rsidRPr="00536372">
        <w:rPr>
          <w:sz w:val="24"/>
          <w:lang w:val="de-DE"/>
        </w:rPr>
        <w:t xml:space="preserve">standen </w:t>
      </w:r>
      <w:r w:rsidR="00B7770B" w:rsidRPr="00536372">
        <w:rPr>
          <w:sz w:val="24"/>
          <w:lang w:val="de-DE"/>
        </w:rPr>
        <w:t xml:space="preserve">aber </w:t>
      </w:r>
      <w:r w:rsidR="00AD0AB4" w:rsidRPr="00536372">
        <w:rPr>
          <w:sz w:val="24"/>
          <w:lang w:val="de-DE"/>
        </w:rPr>
        <w:t xml:space="preserve">eher </w:t>
      </w:r>
      <w:r w:rsidR="00980436" w:rsidRPr="00536372">
        <w:rPr>
          <w:sz w:val="24"/>
          <w:lang w:val="de-DE"/>
        </w:rPr>
        <w:t>die</w:t>
      </w:r>
      <w:r w:rsidR="002C7867" w:rsidRPr="00536372">
        <w:rPr>
          <w:sz w:val="24"/>
          <w:lang w:val="de-DE"/>
        </w:rPr>
        <w:t xml:space="preserve"> „Schattenflotte“, </w:t>
      </w:r>
      <w:r w:rsidR="00AD0AB4" w:rsidRPr="00536372">
        <w:rPr>
          <w:sz w:val="24"/>
          <w:lang w:val="de-DE"/>
        </w:rPr>
        <w:t xml:space="preserve">die </w:t>
      </w:r>
      <w:r w:rsidR="00B7770B" w:rsidRPr="00536372">
        <w:rPr>
          <w:sz w:val="24"/>
          <w:lang w:val="de-DE"/>
        </w:rPr>
        <w:t>weitergehende</w:t>
      </w:r>
      <w:r w:rsidR="00AD0AB4" w:rsidRPr="00536372">
        <w:rPr>
          <w:sz w:val="24"/>
          <w:lang w:val="de-DE"/>
        </w:rPr>
        <w:t xml:space="preserve"> Beschränkung des Zugangs zu Flughäfen, Häfen und Schleusen</w:t>
      </w:r>
      <w:r w:rsidR="00C55C0C" w:rsidRPr="00536372">
        <w:rPr>
          <w:sz w:val="24"/>
          <w:lang w:val="de-DE"/>
        </w:rPr>
        <w:t xml:space="preserve"> oder</w:t>
      </w:r>
      <w:r w:rsidR="00AD0AB4" w:rsidRPr="00536372">
        <w:rPr>
          <w:sz w:val="24"/>
          <w:lang w:val="de-DE"/>
        </w:rPr>
        <w:t xml:space="preserve"> </w:t>
      </w:r>
      <w:r w:rsidR="008B6F1A" w:rsidRPr="00536372">
        <w:rPr>
          <w:sz w:val="24"/>
          <w:lang w:val="de-DE"/>
        </w:rPr>
        <w:t xml:space="preserve">Maßnahmen gegen </w:t>
      </w:r>
      <w:r w:rsidR="00B7770B" w:rsidRPr="00536372">
        <w:rPr>
          <w:sz w:val="24"/>
          <w:lang w:val="de-DE"/>
        </w:rPr>
        <w:t xml:space="preserve">die </w:t>
      </w:r>
      <w:r w:rsidR="00C55C0C" w:rsidRPr="00536372">
        <w:rPr>
          <w:sz w:val="24"/>
          <w:lang w:val="de-DE"/>
        </w:rPr>
        <w:t xml:space="preserve">russische </w:t>
      </w:r>
      <w:r w:rsidR="00AD0AB4" w:rsidRPr="00536372">
        <w:rPr>
          <w:sz w:val="24"/>
          <w:lang w:val="de-DE"/>
        </w:rPr>
        <w:t>Erdöl</w:t>
      </w:r>
      <w:r w:rsidR="00C55C0C" w:rsidRPr="00536372">
        <w:rPr>
          <w:sz w:val="24"/>
          <w:lang w:val="de-DE"/>
        </w:rPr>
        <w:t>- und Erdgas</w:t>
      </w:r>
      <w:r w:rsidR="00AD0AB4" w:rsidRPr="00536372">
        <w:rPr>
          <w:sz w:val="24"/>
          <w:lang w:val="de-DE"/>
        </w:rPr>
        <w:t>exploration und -produktion</w:t>
      </w:r>
      <w:r w:rsidR="00C55C0C" w:rsidRPr="00536372">
        <w:rPr>
          <w:sz w:val="24"/>
          <w:lang w:val="de-DE"/>
        </w:rPr>
        <w:t>.</w:t>
      </w:r>
    </w:p>
    <w:p w14:paraId="4C5C38F9" w14:textId="77777777" w:rsidR="00202726" w:rsidRPr="00536372" w:rsidRDefault="00202726" w:rsidP="00E82C13">
      <w:pPr>
        <w:jc w:val="left"/>
        <w:rPr>
          <w:sz w:val="24"/>
          <w:lang w:val="de-DE"/>
        </w:rPr>
      </w:pPr>
    </w:p>
    <w:p w14:paraId="3EEEBF0F" w14:textId="00EB458E" w:rsidR="00202726" w:rsidRPr="00536372" w:rsidRDefault="00202726" w:rsidP="00E82C13">
      <w:pPr>
        <w:jc w:val="left"/>
        <w:rPr>
          <w:sz w:val="24"/>
          <w:lang w:val="de-DE"/>
        </w:rPr>
      </w:pPr>
      <w:r w:rsidRPr="00536372">
        <w:rPr>
          <w:sz w:val="24"/>
          <w:lang w:val="de-DE"/>
        </w:rPr>
        <w:t>Welche Neuerungen bringt nun das 18. Sanktionspaket vom 18.07.2025</w:t>
      </w:r>
      <w:r w:rsidR="002C2524">
        <w:rPr>
          <w:sz w:val="24"/>
          <w:lang w:val="de-DE"/>
        </w:rPr>
        <w:t xml:space="preserve"> </w:t>
      </w:r>
      <w:r w:rsidR="002C2524" w:rsidRPr="00536372">
        <w:rPr>
          <w:sz w:val="24"/>
          <w:lang w:val="de-DE"/>
        </w:rPr>
        <w:t>für die im- und exportierenden Unternehmen</w:t>
      </w:r>
      <w:r w:rsidRPr="00536372">
        <w:rPr>
          <w:sz w:val="24"/>
          <w:lang w:val="de-DE"/>
        </w:rPr>
        <w:t>?</w:t>
      </w:r>
    </w:p>
    <w:p w14:paraId="68E431BA" w14:textId="77777777" w:rsidR="00B7770B" w:rsidRPr="00536372" w:rsidRDefault="00B7770B" w:rsidP="00E82C13">
      <w:pPr>
        <w:jc w:val="left"/>
        <w:rPr>
          <w:sz w:val="24"/>
          <w:lang w:val="de-DE"/>
        </w:rPr>
      </w:pPr>
    </w:p>
    <w:p w14:paraId="2A679AA9" w14:textId="01BD93DF" w:rsidR="00202726" w:rsidRPr="00536372" w:rsidRDefault="00202726" w:rsidP="00E82C13">
      <w:pPr>
        <w:jc w:val="left"/>
        <w:rPr>
          <w:b/>
          <w:bCs/>
          <w:sz w:val="20"/>
          <w:szCs w:val="20"/>
          <w:lang w:val="de-DE"/>
        </w:rPr>
      </w:pPr>
      <w:r w:rsidRPr="003C0824">
        <w:rPr>
          <w:b/>
          <w:bCs/>
          <w:sz w:val="20"/>
          <w:szCs w:val="20"/>
          <w:highlight w:val="lightGray"/>
          <w:lang w:val="de-DE"/>
        </w:rPr>
        <w:t xml:space="preserve">Ankündigung: </w:t>
      </w:r>
      <w:r w:rsidR="00536372" w:rsidRPr="003C0824">
        <w:rPr>
          <w:b/>
          <w:bCs/>
          <w:sz w:val="20"/>
          <w:szCs w:val="20"/>
          <w:highlight w:val="lightGray"/>
          <w:lang w:val="de-DE"/>
        </w:rPr>
        <w:t>„Stärke ist die einzige Sprache, die Russland verstehen wird.“</w:t>
      </w:r>
    </w:p>
    <w:p w14:paraId="527A8C2E" w14:textId="77777777" w:rsidR="00536372" w:rsidRPr="00536372" w:rsidRDefault="00536372" w:rsidP="00E82C13">
      <w:pPr>
        <w:jc w:val="left"/>
        <w:rPr>
          <w:sz w:val="20"/>
          <w:szCs w:val="20"/>
          <w:lang w:val="de-DE"/>
        </w:rPr>
      </w:pPr>
    </w:p>
    <w:p w14:paraId="036B2DB1" w14:textId="4D64EDAB" w:rsidR="002C523D" w:rsidRDefault="00B13ACD" w:rsidP="00E82C13">
      <w:pPr>
        <w:jc w:val="left"/>
        <w:rPr>
          <w:sz w:val="20"/>
          <w:szCs w:val="20"/>
          <w:lang w:val="de-DE"/>
        </w:rPr>
      </w:pPr>
      <w:r w:rsidRPr="00536372">
        <w:rPr>
          <w:sz w:val="20"/>
          <w:szCs w:val="20"/>
          <w:lang w:val="de-DE"/>
        </w:rPr>
        <w:t xml:space="preserve">Das </w:t>
      </w:r>
      <w:r w:rsidR="00D22463">
        <w:rPr>
          <w:sz w:val="20"/>
          <w:szCs w:val="20"/>
          <w:lang w:val="de-DE"/>
        </w:rPr>
        <w:t xml:space="preserve">von der EU </w:t>
      </w:r>
      <w:r w:rsidR="006A2161">
        <w:rPr>
          <w:sz w:val="20"/>
          <w:szCs w:val="20"/>
          <w:lang w:val="de-DE"/>
        </w:rPr>
        <w:t xml:space="preserve">Anfang Juni 2025 </w:t>
      </w:r>
      <w:r w:rsidR="00D22463">
        <w:rPr>
          <w:sz w:val="20"/>
          <w:szCs w:val="20"/>
          <w:lang w:val="de-DE"/>
        </w:rPr>
        <w:t xml:space="preserve">angekündigte </w:t>
      </w:r>
      <w:r w:rsidRPr="00536372">
        <w:rPr>
          <w:sz w:val="20"/>
          <w:szCs w:val="20"/>
          <w:lang w:val="de-DE"/>
        </w:rPr>
        <w:t xml:space="preserve">18. Sanktionspaket wurde </w:t>
      </w:r>
      <w:r w:rsidR="0087671C">
        <w:rPr>
          <w:sz w:val="20"/>
          <w:szCs w:val="20"/>
          <w:lang w:val="de-DE"/>
        </w:rPr>
        <w:t>in de</w:t>
      </w:r>
      <w:r w:rsidR="001A2A28">
        <w:rPr>
          <w:sz w:val="20"/>
          <w:szCs w:val="20"/>
          <w:lang w:val="de-DE"/>
        </w:rPr>
        <w:t>n</w:t>
      </w:r>
      <w:r w:rsidR="0087671C">
        <w:rPr>
          <w:sz w:val="20"/>
          <w:szCs w:val="20"/>
          <w:lang w:val="de-DE"/>
        </w:rPr>
        <w:t xml:space="preserve"> einschlägigen </w:t>
      </w:r>
      <w:r w:rsidR="001A2A28">
        <w:rPr>
          <w:sz w:val="20"/>
          <w:szCs w:val="20"/>
          <w:lang w:val="de-DE"/>
        </w:rPr>
        <w:t>Medien</w:t>
      </w:r>
      <w:r w:rsidR="0087671C">
        <w:rPr>
          <w:sz w:val="20"/>
          <w:szCs w:val="20"/>
          <w:lang w:val="de-DE"/>
        </w:rPr>
        <w:t xml:space="preserve"> </w:t>
      </w:r>
      <w:r w:rsidRPr="00536372">
        <w:rPr>
          <w:sz w:val="20"/>
          <w:szCs w:val="20"/>
          <w:lang w:val="de-DE"/>
        </w:rPr>
        <w:t xml:space="preserve">als </w:t>
      </w:r>
      <w:r w:rsidR="007B48CA" w:rsidRPr="00536372">
        <w:rPr>
          <w:sz w:val="20"/>
          <w:szCs w:val="20"/>
          <w:lang w:val="de-DE"/>
        </w:rPr>
        <w:t>eine besonders einschneidende und harte</w:t>
      </w:r>
      <w:r w:rsidR="0087671C">
        <w:rPr>
          <w:sz w:val="20"/>
          <w:szCs w:val="20"/>
          <w:lang w:val="de-DE"/>
        </w:rPr>
        <w:t xml:space="preserve">, wenn nicht </w:t>
      </w:r>
      <w:r w:rsidR="00D22463">
        <w:rPr>
          <w:sz w:val="20"/>
          <w:szCs w:val="20"/>
          <w:lang w:val="de-DE"/>
        </w:rPr>
        <w:t xml:space="preserve">gar </w:t>
      </w:r>
      <w:r w:rsidR="0087671C">
        <w:rPr>
          <w:sz w:val="20"/>
          <w:szCs w:val="20"/>
          <w:lang w:val="de-DE"/>
        </w:rPr>
        <w:t>die schä</w:t>
      </w:r>
      <w:r w:rsidR="00D22463">
        <w:rPr>
          <w:sz w:val="20"/>
          <w:szCs w:val="20"/>
          <w:lang w:val="de-DE"/>
        </w:rPr>
        <w:t>r</w:t>
      </w:r>
      <w:r w:rsidR="0087671C">
        <w:rPr>
          <w:sz w:val="20"/>
          <w:szCs w:val="20"/>
          <w:lang w:val="de-DE"/>
        </w:rPr>
        <w:t>fste</w:t>
      </w:r>
      <w:r w:rsidR="007B48CA" w:rsidRPr="00536372">
        <w:rPr>
          <w:sz w:val="20"/>
          <w:szCs w:val="20"/>
          <w:lang w:val="de-DE"/>
        </w:rPr>
        <w:t xml:space="preserve"> Maßnahme </w:t>
      </w:r>
      <w:r w:rsidR="00D22463">
        <w:rPr>
          <w:sz w:val="20"/>
          <w:szCs w:val="20"/>
          <w:lang w:val="de-DE"/>
        </w:rPr>
        <w:t xml:space="preserve">seit Februar 2022 </w:t>
      </w:r>
      <w:r w:rsidRPr="000A3698">
        <w:rPr>
          <w:sz w:val="20"/>
          <w:szCs w:val="20"/>
          <w:lang w:val="de-DE"/>
        </w:rPr>
        <w:t xml:space="preserve">angekündigt. </w:t>
      </w:r>
      <w:r w:rsidR="002A54A5" w:rsidRPr="000A3698">
        <w:rPr>
          <w:sz w:val="20"/>
          <w:szCs w:val="20"/>
          <w:lang w:val="de-DE"/>
        </w:rPr>
        <w:t xml:space="preserve">Im Wesentlichen wolle man vor allem auf zwei Bereiche abzielen: den russischen Energiesektor und den Bankensektor. </w:t>
      </w:r>
      <w:r w:rsidR="00DE41C4" w:rsidRPr="000A3698">
        <w:rPr>
          <w:sz w:val="20"/>
          <w:szCs w:val="20"/>
          <w:lang w:val="de-DE"/>
        </w:rPr>
        <w:t>Das</w:t>
      </w:r>
      <w:r w:rsidR="00DE41C4" w:rsidRPr="00DE41C4">
        <w:rPr>
          <w:sz w:val="20"/>
          <w:szCs w:val="20"/>
          <w:lang w:val="de-DE"/>
        </w:rPr>
        <w:t xml:space="preserve"> neue EU-Sanktionspaket </w:t>
      </w:r>
      <w:r w:rsidR="00DE41C4">
        <w:rPr>
          <w:sz w:val="20"/>
          <w:szCs w:val="20"/>
          <w:lang w:val="de-DE"/>
        </w:rPr>
        <w:t>sehe</w:t>
      </w:r>
      <w:r w:rsidR="00DE41C4" w:rsidRPr="00DE41C4">
        <w:rPr>
          <w:sz w:val="20"/>
          <w:szCs w:val="20"/>
          <w:lang w:val="de-DE"/>
        </w:rPr>
        <w:t xml:space="preserve"> </w:t>
      </w:r>
      <w:r w:rsidR="00BE425F">
        <w:rPr>
          <w:sz w:val="20"/>
          <w:szCs w:val="20"/>
          <w:lang w:val="de-DE"/>
        </w:rPr>
        <w:t>Maßnahmen zur Verhinderung der Wiederinbetriebnahme von</w:t>
      </w:r>
      <w:r w:rsidR="00DE41C4" w:rsidRPr="00DE41C4">
        <w:rPr>
          <w:sz w:val="20"/>
          <w:szCs w:val="20"/>
          <w:lang w:val="de-DE"/>
        </w:rPr>
        <w:t xml:space="preserve"> Nord Stream </w:t>
      </w:r>
      <w:r w:rsidR="000A474F">
        <w:rPr>
          <w:sz w:val="20"/>
          <w:szCs w:val="20"/>
          <w:lang w:val="de-DE"/>
        </w:rPr>
        <w:t xml:space="preserve">1 und 2 </w:t>
      </w:r>
      <w:r w:rsidR="007E36EB">
        <w:rPr>
          <w:sz w:val="20"/>
          <w:szCs w:val="20"/>
          <w:lang w:val="de-DE"/>
        </w:rPr>
        <w:t xml:space="preserve">sowie ein Importverbot für russisches Gas </w:t>
      </w:r>
      <w:r w:rsidR="000A474F">
        <w:rPr>
          <w:sz w:val="20"/>
          <w:szCs w:val="20"/>
          <w:lang w:val="de-DE"/>
        </w:rPr>
        <w:t>vor</w:t>
      </w:r>
      <w:r w:rsidR="00013E12">
        <w:rPr>
          <w:sz w:val="20"/>
          <w:szCs w:val="20"/>
          <w:lang w:val="de-DE"/>
        </w:rPr>
        <w:t>; d</w:t>
      </w:r>
      <w:r w:rsidR="00823B55" w:rsidRPr="000A474F">
        <w:rPr>
          <w:sz w:val="20"/>
          <w:szCs w:val="20"/>
          <w:lang w:val="de-DE"/>
        </w:rPr>
        <w:t xml:space="preserve">ie Ölpreisobergrenze solle gesenkt </w:t>
      </w:r>
      <w:r w:rsidR="00823B55">
        <w:rPr>
          <w:sz w:val="20"/>
          <w:szCs w:val="20"/>
          <w:lang w:val="de-DE"/>
        </w:rPr>
        <w:t>werden</w:t>
      </w:r>
      <w:r w:rsidR="00013E12">
        <w:rPr>
          <w:sz w:val="20"/>
          <w:szCs w:val="20"/>
          <w:lang w:val="de-DE"/>
        </w:rPr>
        <w:t>;</w:t>
      </w:r>
      <w:r w:rsidR="00823B55">
        <w:rPr>
          <w:sz w:val="20"/>
          <w:szCs w:val="20"/>
          <w:lang w:val="de-DE"/>
        </w:rPr>
        <w:t xml:space="preserve"> </w:t>
      </w:r>
      <w:r w:rsidR="00013E12">
        <w:rPr>
          <w:sz w:val="20"/>
          <w:szCs w:val="20"/>
          <w:lang w:val="de-DE"/>
        </w:rPr>
        <w:t>w</w:t>
      </w:r>
      <w:r w:rsidR="00823B55">
        <w:rPr>
          <w:sz w:val="20"/>
          <w:szCs w:val="20"/>
          <w:lang w:val="de-DE"/>
        </w:rPr>
        <w:t xml:space="preserve">eitere </w:t>
      </w:r>
      <w:r w:rsidR="00823B55" w:rsidRPr="00536372">
        <w:rPr>
          <w:sz w:val="20"/>
          <w:szCs w:val="20"/>
          <w:lang w:val="de-DE"/>
        </w:rPr>
        <w:t xml:space="preserve">Schiffe der Schattenflotte </w:t>
      </w:r>
      <w:r w:rsidR="001A2A28">
        <w:rPr>
          <w:sz w:val="20"/>
          <w:szCs w:val="20"/>
          <w:lang w:val="de-DE"/>
        </w:rPr>
        <w:t>würden</w:t>
      </w:r>
      <w:r w:rsidR="00823B55" w:rsidRPr="00536372">
        <w:rPr>
          <w:sz w:val="20"/>
          <w:szCs w:val="20"/>
          <w:lang w:val="de-DE"/>
        </w:rPr>
        <w:t xml:space="preserve"> gelistet werden</w:t>
      </w:r>
      <w:r w:rsidR="00013E12">
        <w:rPr>
          <w:sz w:val="20"/>
          <w:szCs w:val="20"/>
          <w:lang w:val="de-DE"/>
        </w:rPr>
        <w:t>; e</w:t>
      </w:r>
      <w:r w:rsidR="00823B55">
        <w:rPr>
          <w:sz w:val="20"/>
          <w:szCs w:val="20"/>
          <w:lang w:val="de-DE"/>
        </w:rPr>
        <w:t xml:space="preserve">s solle </w:t>
      </w:r>
      <w:r w:rsidR="00823B55" w:rsidRPr="006A2161">
        <w:rPr>
          <w:sz w:val="20"/>
          <w:szCs w:val="20"/>
          <w:lang w:val="de-DE"/>
        </w:rPr>
        <w:t>ein Einfuhrverbot für auf der Grundlage von russischem Rohöl raffinierte Produkte verhängt werden</w:t>
      </w:r>
      <w:r w:rsidR="00823B55">
        <w:rPr>
          <w:sz w:val="20"/>
          <w:szCs w:val="20"/>
          <w:lang w:val="de-DE"/>
        </w:rPr>
        <w:t xml:space="preserve">. Ferner </w:t>
      </w:r>
      <w:r w:rsidR="001A2A28">
        <w:rPr>
          <w:sz w:val="20"/>
          <w:szCs w:val="20"/>
          <w:lang w:val="de-DE"/>
        </w:rPr>
        <w:t>würden</w:t>
      </w:r>
      <w:r w:rsidR="00823B55">
        <w:rPr>
          <w:sz w:val="20"/>
          <w:szCs w:val="20"/>
          <w:lang w:val="de-DE"/>
        </w:rPr>
        <w:t xml:space="preserve"> </w:t>
      </w:r>
      <w:r w:rsidR="00DE41C4" w:rsidRPr="00DE41C4">
        <w:rPr>
          <w:sz w:val="20"/>
          <w:szCs w:val="20"/>
          <w:lang w:val="de-DE"/>
        </w:rPr>
        <w:t xml:space="preserve">Banken </w:t>
      </w:r>
      <w:r w:rsidR="000A474F">
        <w:rPr>
          <w:sz w:val="20"/>
          <w:szCs w:val="20"/>
          <w:lang w:val="de-DE"/>
        </w:rPr>
        <w:t>sanktionier</w:t>
      </w:r>
      <w:r w:rsidR="00823B55">
        <w:rPr>
          <w:sz w:val="20"/>
          <w:szCs w:val="20"/>
          <w:lang w:val="de-DE"/>
        </w:rPr>
        <w:t>t werd</w:t>
      </w:r>
      <w:r w:rsidR="000A474F">
        <w:rPr>
          <w:sz w:val="20"/>
          <w:szCs w:val="20"/>
          <w:lang w:val="de-DE"/>
        </w:rPr>
        <w:t>en</w:t>
      </w:r>
      <w:r w:rsidR="00DE41C4" w:rsidRPr="00DE41C4">
        <w:rPr>
          <w:sz w:val="20"/>
          <w:szCs w:val="20"/>
          <w:lang w:val="de-DE"/>
        </w:rPr>
        <w:t xml:space="preserve">, die sich an der Umgehung von </w:t>
      </w:r>
      <w:r w:rsidR="000A474F">
        <w:rPr>
          <w:sz w:val="20"/>
          <w:szCs w:val="20"/>
          <w:lang w:val="de-DE"/>
        </w:rPr>
        <w:t xml:space="preserve">bestehenden </w:t>
      </w:r>
      <w:r w:rsidR="00DE41C4" w:rsidRPr="00DE41C4">
        <w:rPr>
          <w:sz w:val="20"/>
          <w:szCs w:val="20"/>
          <w:lang w:val="de-DE"/>
        </w:rPr>
        <w:t>Sanktionen beteiligen</w:t>
      </w:r>
      <w:r w:rsidR="00013E12">
        <w:rPr>
          <w:sz w:val="20"/>
          <w:szCs w:val="20"/>
          <w:lang w:val="de-DE"/>
        </w:rPr>
        <w:t>; d</w:t>
      </w:r>
      <w:r w:rsidR="00823B55" w:rsidRPr="008126E1">
        <w:rPr>
          <w:sz w:val="20"/>
          <w:szCs w:val="20"/>
          <w:lang w:val="de-DE"/>
        </w:rPr>
        <w:t>as Verbot der Nutzung des SWIFT-Systems</w:t>
      </w:r>
      <w:r w:rsidR="00823B55" w:rsidRPr="00536372">
        <w:rPr>
          <w:sz w:val="20"/>
          <w:szCs w:val="20"/>
          <w:lang w:val="de-DE"/>
        </w:rPr>
        <w:t xml:space="preserve"> </w:t>
      </w:r>
      <w:r w:rsidR="00823B55">
        <w:rPr>
          <w:sz w:val="20"/>
          <w:szCs w:val="20"/>
          <w:lang w:val="de-DE"/>
        </w:rPr>
        <w:t xml:space="preserve">solle ausgeweitet und auf weitere russische Banken ausgedehnt sowie </w:t>
      </w:r>
      <w:r w:rsidR="00823B55" w:rsidRPr="008126E1">
        <w:rPr>
          <w:sz w:val="20"/>
          <w:szCs w:val="20"/>
          <w:lang w:val="de-DE"/>
        </w:rPr>
        <w:t>Sanktionen gegen den russischen Direktinvestitionsfonds</w:t>
      </w:r>
      <w:r w:rsidR="00823B55">
        <w:rPr>
          <w:sz w:val="20"/>
          <w:szCs w:val="20"/>
          <w:lang w:val="de-DE"/>
        </w:rPr>
        <w:t xml:space="preserve"> verhängt werden.</w:t>
      </w:r>
      <w:r w:rsidR="006A2161" w:rsidRPr="006A2161">
        <w:rPr>
          <w:sz w:val="20"/>
          <w:szCs w:val="20"/>
          <w:lang w:val="de-DE"/>
        </w:rPr>
        <w:t xml:space="preserve"> </w:t>
      </w:r>
      <w:r w:rsidR="002C523D">
        <w:rPr>
          <w:sz w:val="20"/>
          <w:szCs w:val="20"/>
          <w:lang w:val="de-DE"/>
        </w:rPr>
        <w:t xml:space="preserve">In der Befürchtung </w:t>
      </w:r>
      <w:r w:rsidR="001C27CF">
        <w:rPr>
          <w:sz w:val="20"/>
          <w:szCs w:val="20"/>
          <w:lang w:val="de-DE"/>
        </w:rPr>
        <w:t xml:space="preserve">einer </w:t>
      </w:r>
      <w:r w:rsidR="001C27CF" w:rsidRPr="001C27CF">
        <w:rPr>
          <w:sz w:val="20"/>
          <w:szCs w:val="20"/>
          <w:lang w:val="de-DE"/>
        </w:rPr>
        <w:t>völlige</w:t>
      </w:r>
      <w:r w:rsidR="001C27CF">
        <w:rPr>
          <w:sz w:val="20"/>
          <w:szCs w:val="20"/>
          <w:lang w:val="de-DE"/>
        </w:rPr>
        <w:t>n</w:t>
      </w:r>
      <w:r w:rsidR="001C27CF" w:rsidRPr="001C27CF">
        <w:rPr>
          <w:sz w:val="20"/>
          <w:szCs w:val="20"/>
          <w:lang w:val="de-DE"/>
        </w:rPr>
        <w:t xml:space="preserve"> Einstell</w:t>
      </w:r>
      <w:r w:rsidR="001C27CF">
        <w:rPr>
          <w:sz w:val="20"/>
          <w:szCs w:val="20"/>
          <w:lang w:val="de-DE"/>
        </w:rPr>
        <w:t>ung</w:t>
      </w:r>
      <w:r w:rsidR="001C27CF" w:rsidRPr="001C27CF">
        <w:rPr>
          <w:sz w:val="20"/>
          <w:szCs w:val="20"/>
          <w:lang w:val="de-DE"/>
        </w:rPr>
        <w:t xml:space="preserve"> der Lieferungen von Gas, Öl und Kernbrennstoffen aus Russland</w:t>
      </w:r>
      <w:r w:rsidR="001C27CF">
        <w:rPr>
          <w:sz w:val="20"/>
          <w:szCs w:val="20"/>
          <w:lang w:val="de-DE"/>
        </w:rPr>
        <w:t xml:space="preserve"> </w:t>
      </w:r>
      <w:r w:rsidR="00C803AD">
        <w:rPr>
          <w:sz w:val="20"/>
          <w:szCs w:val="20"/>
          <w:lang w:val="de-DE"/>
        </w:rPr>
        <w:t>drohte</w:t>
      </w:r>
      <w:r w:rsidR="001C27CF">
        <w:rPr>
          <w:sz w:val="20"/>
          <w:szCs w:val="20"/>
          <w:lang w:val="de-DE"/>
        </w:rPr>
        <w:t xml:space="preserve"> </w:t>
      </w:r>
      <w:r w:rsidR="00823B55">
        <w:rPr>
          <w:sz w:val="20"/>
          <w:szCs w:val="20"/>
          <w:lang w:val="de-DE"/>
        </w:rPr>
        <w:t>daraufhin</w:t>
      </w:r>
      <w:r w:rsidR="006A2161">
        <w:rPr>
          <w:sz w:val="20"/>
          <w:szCs w:val="20"/>
          <w:lang w:val="de-DE"/>
        </w:rPr>
        <w:t xml:space="preserve"> </w:t>
      </w:r>
      <w:r w:rsidR="001C27CF">
        <w:rPr>
          <w:sz w:val="20"/>
          <w:szCs w:val="20"/>
          <w:lang w:val="de-DE"/>
        </w:rPr>
        <w:t xml:space="preserve">die Slowakei </w:t>
      </w:r>
      <w:r w:rsidR="00C803AD">
        <w:rPr>
          <w:sz w:val="20"/>
          <w:szCs w:val="20"/>
          <w:lang w:val="de-DE"/>
        </w:rPr>
        <w:t>mit einem</w:t>
      </w:r>
      <w:r w:rsidR="001C27CF">
        <w:rPr>
          <w:sz w:val="20"/>
          <w:szCs w:val="20"/>
          <w:lang w:val="de-DE"/>
        </w:rPr>
        <w:t xml:space="preserve"> Veto gegen das vorbereitete Sanktionspaket </w:t>
      </w:r>
      <w:r w:rsidR="00C803AD">
        <w:rPr>
          <w:sz w:val="20"/>
          <w:szCs w:val="20"/>
          <w:lang w:val="de-DE"/>
        </w:rPr>
        <w:t>und auch Malta, Griechenland und Zypern meldeten Bedenken an, da im Falle einer zu hohen Senkung des Ölpreisdeckels Nachteile für heimische Schifffahrtsunternehmen befürchtet wurden.</w:t>
      </w:r>
    </w:p>
    <w:p w14:paraId="25DCE328" w14:textId="77777777" w:rsidR="00AB3C33" w:rsidRDefault="00AB3C33" w:rsidP="00E82C13">
      <w:pPr>
        <w:jc w:val="left"/>
        <w:rPr>
          <w:sz w:val="20"/>
          <w:szCs w:val="20"/>
          <w:lang w:val="de-DE"/>
        </w:rPr>
      </w:pPr>
    </w:p>
    <w:p w14:paraId="653461C6" w14:textId="1BA1C8DD" w:rsidR="00AB3C33" w:rsidRDefault="00294306" w:rsidP="00E82C13">
      <w:pPr>
        <w:jc w:val="left"/>
        <w:rPr>
          <w:sz w:val="20"/>
          <w:szCs w:val="20"/>
          <w:lang w:val="de-DE"/>
        </w:rPr>
      </w:pPr>
      <w:r>
        <w:rPr>
          <w:sz w:val="20"/>
          <w:szCs w:val="20"/>
          <w:lang w:val="de-DE"/>
        </w:rPr>
        <w:t xml:space="preserve">Handels- und Vertriebsunternehmen konnten sich angesichts dieser Ankündigungen veranlasst sehen, von dem 18. Sanktionspaket nicht wesentlich betroffen zu sein. </w:t>
      </w:r>
      <w:r w:rsidR="00AB3C33">
        <w:rPr>
          <w:sz w:val="20"/>
          <w:szCs w:val="20"/>
          <w:lang w:val="de-DE"/>
        </w:rPr>
        <w:t xml:space="preserve">Über die Diskussion rund um den Energiesektor ist </w:t>
      </w:r>
      <w:r>
        <w:rPr>
          <w:sz w:val="20"/>
          <w:szCs w:val="20"/>
          <w:lang w:val="de-DE"/>
        </w:rPr>
        <w:t xml:space="preserve">allerdings </w:t>
      </w:r>
      <w:r w:rsidR="00AB3C33">
        <w:rPr>
          <w:sz w:val="20"/>
          <w:szCs w:val="20"/>
          <w:lang w:val="de-DE"/>
        </w:rPr>
        <w:t>in den Hintergrund geraten, dass die EU</w:t>
      </w:r>
      <w:r w:rsidR="002F6582">
        <w:rPr>
          <w:sz w:val="20"/>
          <w:szCs w:val="20"/>
          <w:lang w:val="de-DE"/>
        </w:rPr>
        <w:t xml:space="preserve"> </w:t>
      </w:r>
      <w:r w:rsidR="00AB3C33" w:rsidRPr="001A2A28">
        <w:rPr>
          <w:sz w:val="20"/>
          <w:szCs w:val="20"/>
          <w:lang w:val="de-DE"/>
        </w:rPr>
        <w:t xml:space="preserve">auch </w:t>
      </w:r>
      <w:r w:rsidR="00AB3C33" w:rsidRPr="001A2A28">
        <w:rPr>
          <w:sz w:val="20"/>
          <w:szCs w:val="20"/>
          <w:u w:val="single"/>
          <w:lang w:val="de-DE"/>
        </w:rPr>
        <w:t>weitere Exportverbote</w:t>
      </w:r>
      <w:r w:rsidR="00AB3C33" w:rsidRPr="001A2A28">
        <w:rPr>
          <w:sz w:val="20"/>
          <w:szCs w:val="20"/>
          <w:lang w:val="de-DE"/>
        </w:rPr>
        <w:t xml:space="preserve"> in Bezug auf </w:t>
      </w:r>
      <w:r w:rsidR="002F6582" w:rsidRPr="001A2A28">
        <w:rPr>
          <w:sz w:val="20"/>
          <w:szCs w:val="20"/>
          <w:lang w:val="de-DE"/>
        </w:rPr>
        <w:t xml:space="preserve">Dual-Use-Güter, </w:t>
      </w:r>
      <w:r w:rsidR="00AB3C33" w:rsidRPr="001A2A28">
        <w:rPr>
          <w:sz w:val="20"/>
          <w:szCs w:val="20"/>
          <w:lang w:val="de-DE"/>
        </w:rPr>
        <w:t xml:space="preserve">kritische Technologien und Industriegüter mit Fokus auf Maschinen, Metalle, </w:t>
      </w:r>
      <w:r w:rsidR="00AB3C33" w:rsidRPr="001A2A28">
        <w:rPr>
          <w:sz w:val="20"/>
          <w:szCs w:val="20"/>
          <w:lang w:val="de-DE"/>
        </w:rPr>
        <w:lastRenderedPageBreak/>
        <w:t xml:space="preserve">Kunststoffe und Chemikalien im Wert von mehr als 2,5 </w:t>
      </w:r>
      <w:r w:rsidR="00AB3C33" w:rsidRPr="0019248B">
        <w:rPr>
          <w:sz w:val="20"/>
          <w:szCs w:val="20"/>
          <w:lang w:val="de-DE"/>
        </w:rPr>
        <w:t xml:space="preserve">Milliarden Euro </w:t>
      </w:r>
      <w:r w:rsidR="000A3698" w:rsidRPr="0019248B">
        <w:rPr>
          <w:sz w:val="20"/>
          <w:szCs w:val="20"/>
          <w:lang w:val="de-DE"/>
        </w:rPr>
        <w:t xml:space="preserve">sowie ergänzende Maßnahmen zur </w:t>
      </w:r>
      <w:r w:rsidR="001E369F" w:rsidRPr="0019248B">
        <w:rPr>
          <w:sz w:val="20"/>
          <w:szCs w:val="20"/>
          <w:lang w:val="de-DE"/>
        </w:rPr>
        <w:t>Verhinderung</w:t>
      </w:r>
      <w:r w:rsidR="000A3698" w:rsidRPr="0019248B">
        <w:rPr>
          <w:sz w:val="20"/>
          <w:szCs w:val="20"/>
          <w:lang w:val="de-DE"/>
        </w:rPr>
        <w:t xml:space="preserve"> der Umgehung der Sanktionen </w:t>
      </w:r>
      <w:r w:rsidR="00AB3C33" w:rsidRPr="0019248B">
        <w:rPr>
          <w:sz w:val="20"/>
          <w:szCs w:val="20"/>
          <w:lang w:val="de-DE"/>
        </w:rPr>
        <w:t>angekündigt</w:t>
      </w:r>
      <w:r w:rsidR="00AB3C33" w:rsidRPr="001A2A28">
        <w:rPr>
          <w:sz w:val="20"/>
          <w:szCs w:val="20"/>
          <w:lang w:val="de-DE"/>
        </w:rPr>
        <w:t xml:space="preserve"> hatte</w:t>
      </w:r>
      <w:r w:rsidR="000A3698" w:rsidRPr="001A2A28">
        <w:rPr>
          <w:sz w:val="20"/>
          <w:szCs w:val="20"/>
          <w:lang w:val="de-DE"/>
        </w:rPr>
        <w:t xml:space="preserve">, die </w:t>
      </w:r>
      <w:r w:rsidR="001E369F" w:rsidRPr="001A2A28">
        <w:rPr>
          <w:sz w:val="20"/>
          <w:szCs w:val="20"/>
          <w:lang w:val="de-DE"/>
        </w:rPr>
        <w:t xml:space="preserve">mit dem (am 20.07.2025 in Kraft getretenen) 18. Sanktionspaket vom 18.07.2025 </w:t>
      </w:r>
      <w:r w:rsidR="000A3698" w:rsidRPr="001A2A28">
        <w:rPr>
          <w:sz w:val="20"/>
          <w:szCs w:val="20"/>
          <w:lang w:val="de-DE"/>
        </w:rPr>
        <w:t>dann auch tatsächlich umgesetzt wurden.</w:t>
      </w:r>
    </w:p>
    <w:p w14:paraId="37EF4011" w14:textId="77777777" w:rsidR="002571E4" w:rsidRDefault="002571E4" w:rsidP="00E82C13">
      <w:pPr>
        <w:jc w:val="left"/>
        <w:rPr>
          <w:sz w:val="20"/>
          <w:szCs w:val="20"/>
          <w:lang w:val="de-DE"/>
        </w:rPr>
      </w:pPr>
    </w:p>
    <w:p w14:paraId="7D1830C8" w14:textId="24122FB3" w:rsidR="001E369F" w:rsidRPr="001E369F" w:rsidRDefault="001E369F" w:rsidP="00E82C13">
      <w:pPr>
        <w:jc w:val="left"/>
        <w:rPr>
          <w:b/>
          <w:bCs/>
          <w:sz w:val="20"/>
          <w:szCs w:val="20"/>
          <w:lang w:val="de-DE"/>
        </w:rPr>
      </w:pPr>
      <w:r w:rsidRPr="003C0824">
        <w:rPr>
          <w:b/>
          <w:bCs/>
          <w:sz w:val="20"/>
          <w:szCs w:val="20"/>
          <w:highlight w:val="lightGray"/>
          <w:u w:val="single"/>
          <w:lang w:val="de-DE"/>
        </w:rPr>
        <w:t>Russland</w:t>
      </w:r>
      <w:r w:rsidRPr="003C0824">
        <w:rPr>
          <w:b/>
          <w:bCs/>
          <w:sz w:val="20"/>
          <w:szCs w:val="20"/>
          <w:highlight w:val="lightGray"/>
          <w:lang w:val="de-DE"/>
        </w:rPr>
        <w:t>: Verordnung (EU) Nr. 833/2014</w:t>
      </w:r>
    </w:p>
    <w:p w14:paraId="273431B5" w14:textId="77777777" w:rsidR="001E369F" w:rsidRDefault="001E369F" w:rsidP="00E82C13">
      <w:pPr>
        <w:jc w:val="left"/>
        <w:rPr>
          <w:sz w:val="20"/>
          <w:szCs w:val="20"/>
          <w:lang w:val="de-DE"/>
        </w:rPr>
      </w:pPr>
    </w:p>
    <w:p w14:paraId="3E2B5988" w14:textId="4EA28403" w:rsidR="00F766DD" w:rsidRDefault="00F766DD" w:rsidP="00E82C13">
      <w:pPr>
        <w:jc w:val="left"/>
        <w:rPr>
          <w:sz w:val="20"/>
          <w:szCs w:val="20"/>
          <w:lang w:val="de-DE"/>
        </w:rPr>
      </w:pPr>
      <w:r>
        <w:rPr>
          <w:sz w:val="20"/>
          <w:szCs w:val="20"/>
          <w:lang w:val="de-DE"/>
        </w:rPr>
        <w:t>Änderungen der VO (EU) Nr. 833/2014</w:t>
      </w:r>
      <w:r w:rsidR="00E65AC6">
        <w:rPr>
          <w:sz w:val="20"/>
          <w:szCs w:val="20"/>
          <w:lang w:val="de-DE"/>
        </w:rPr>
        <w:t>, und dort insbesondere der güterbezogenen Maßnahmen,</w:t>
      </w:r>
      <w:r>
        <w:rPr>
          <w:sz w:val="20"/>
          <w:szCs w:val="20"/>
          <w:lang w:val="de-DE"/>
        </w:rPr>
        <w:t xml:space="preserve"> wurden mit der </w:t>
      </w:r>
      <w:r w:rsidRPr="00F766DD">
        <w:rPr>
          <w:b/>
          <w:bCs/>
          <w:sz w:val="20"/>
          <w:szCs w:val="20"/>
          <w:lang w:val="de-DE"/>
        </w:rPr>
        <w:t>Verordnung (EU) 2025/1494 vom 18. Juli 2025</w:t>
      </w:r>
      <w:r w:rsidRPr="00F766DD">
        <w:rPr>
          <w:sz w:val="20"/>
          <w:szCs w:val="20"/>
          <w:lang w:val="de-DE"/>
        </w:rPr>
        <w:t xml:space="preserve"> </w:t>
      </w:r>
      <w:r>
        <w:rPr>
          <w:sz w:val="20"/>
          <w:szCs w:val="20"/>
          <w:lang w:val="de-DE"/>
        </w:rPr>
        <w:t xml:space="preserve">vorgenommen: </w:t>
      </w:r>
    </w:p>
    <w:p w14:paraId="495CD367" w14:textId="77777777" w:rsidR="00F766DD" w:rsidRDefault="00F766DD" w:rsidP="00E82C13">
      <w:pPr>
        <w:jc w:val="left"/>
        <w:rPr>
          <w:sz w:val="20"/>
          <w:szCs w:val="20"/>
          <w:lang w:val="de-DE"/>
        </w:rPr>
      </w:pPr>
    </w:p>
    <w:p w14:paraId="095CFF0F" w14:textId="31892A3C" w:rsidR="00F75CA3" w:rsidRPr="002416FF" w:rsidRDefault="00F75CA3" w:rsidP="00E82C13">
      <w:pPr>
        <w:jc w:val="left"/>
        <w:rPr>
          <w:b/>
          <w:bCs/>
          <w:i/>
          <w:iCs/>
          <w:color w:val="C00000"/>
          <w:sz w:val="20"/>
          <w:szCs w:val="20"/>
          <w:lang w:val="de-DE"/>
        </w:rPr>
      </w:pPr>
      <w:r w:rsidRPr="002416FF">
        <w:rPr>
          <w:b/>
          <w:bCs/>
          <w:i/>
          <w:iCs/>
          <w:color w:val="C00000"/>
          <w:sz w:val="20"/>
          <w:szCs w:val="20"/>
          <w:lang w:val="de-DE"/>
        </w:rPr>
        <w:t>Exportverbote</w:t>
      </w:r>
      <w:r w:rsidR="001678C4">
        <w:rPr>
          <w:b/>
          <w:bCs/>
          <w:i/>
          <w:iCs/>
          <w:color w:val="C00000"/>
          <w:sz w:val="20"/>
          <w:szCs w:val="20"/>
          <w:lang w:val="de-DE"/>
        </w:rPr>
        <w:t>: Änderung Güterlisten</w:t>
      </w:r>
    </w:p>
    <w:p w14:paraId="68E30D03" w14:textId="77777777" w:rsidR="00F75CA3" w:rsidRDefault="00F75CA3" w:rsidP="00E82C13">
      <w:pPr>
        <w:jc w:val="left"/>
        <w:rPr>
          <w:sz w:val="20"/>
          <w:szCs w:val="20"/>
          <w:lang w:val="de-DE"/>
        </w:rPr>
      </w:pPr>
    </w:p>
    <w:p w14:paraId="7828E93C" w14:textId="77777777" w:rsidR="001C6876" w:rsidRDefault="00903847" w:rsidP="00451782">
      <w:pPr>
        <w:jc w:val="left"/>
        <w:rPr>
          <w:sz w:val="20"/>
          <w:szCs w:val="20"/>
          <w:lang w:val="de-DE"/>
        </w:rPr>
      </w:pPr>
      <w:r w:rsidRPr="00903847">
        <w:rPr>
          <w:sz w:val="20"/>
          <w:szCs w:val="20"/>
          <w:lang w:val="de-DE"/>
        </w:rPr>
        <w:t>Art. 2a Abs. 1 und Art</w:t>
      </w:r>
      <w:r>
        <w:rPr>
          <w:sz w:val="20"/>
          <w:szCs w:val="20"/>
          <w:lang w:val="de-DE"/>
        </w:rPr>
        <w:t>. 3k Abs. 1 der VO (EU) Nr. 833/2014 verbieten den Verkauf, die Ausfuhr, Lieferung oder anderweitige Verbringung</w:t>
      </w:r>
      <w:r w:rsidR="00EE57B6">
        <w:rPr>
          <w:sz w:val="20"/>
          <w:szCs w:val="20"/>
          <w:lang w:val="de-DE"/>
        </w:rPr>
        <w:t xml:space="preserve"> der in Anhang VII bzw. Anhang XXIII </w:t>
      </w:r>
      <w:r w:rsidR="00EE57B6" w:rsidRPr="00903847">
        <w:rPr>
          <w:sz w:val="20"/>
          <w:szCs w:val="20"/>
          <w:lang w:val="de-DE"/>
        </w:rPr>
        <w:t>aufgeführte</w:t>
      </w:r>
      <w:r w:rsidR="00EE57B6">
        <w:rPr>
          <w:sz w:val="20"/>
          <w:szCs w:val="20"/>
          <w:lang w:val="de-DE"/>
        </w:rPr>
        <w:t>n</w:t>
      </w:r>
      <w:r w:rsidR="00EE57B6" w:rsidRPr="00903847">
        <w:rPr>
          <w:sz w:val="20"/>
          <w:szCs w:val="20"/>
          <w:lang w:val="de-DE"/>
        </w:rPr>
        <w:t xml:space="preserve"> Güter und Technologien</w:t>
      </w:r>
      <w:r>
        <w:rPr>
          <w:sz w:val="20"/>
          <w:szCs w:val="20"/>
          <w:lang w:val="de-DE"/>
        </w:rPr>
        <w:t xml:space="preserve">, jeweils unmittelbar oder mittelbar, </w:t>
      </w:r>
      <w:r w:rsidRPr="00903847">
        <w:rPr>
          <w:sz w:val="20"/>
          <w:szCs w:val="20"/>
          <w:lang w:val="de-DE"/>
        </w:rPr>
        <w:t>an natürliche oder juristische Personen, Organisationen oder Einrichtungen in Russland oder zur Verwendung in Russland</w:t>
      </w:r>
      <w:r w:rsidR="00EE57B6">
        <w:rPr>
          <w:sz w:val="20"/>
          <w:szCs w:val="20"/>
          <w:lang w:val="de-DE"/>
        </w:rPr>
        <w:t xml:space="preserve">. Beide Anhänge wurden </w:t>
      </w:r>
      <w:r w:rsidR="00DC66AF">
        <w:rPr>
          <w:sz w:val="20"/>
          <w:szCs w:val="20"/>
          <w:lang w:val="de-DE"/>
        </w:rPr>
        <w:t xml:space="preserve">nun erneut </w:t>
      </w:r>
      <w:r w:rsidR="00EE57B6">
        <w:rPr>
          <w:sz w:val="20"/>
          <w:szCs w:val="20"/>
          <w:lang w:val="de-DE"/>
        </w:rPr>
        <w:t xml:space="preserve">erweitert. </w:t>
      </w:r>
      <w:r w:rsidR="004F6FA1">
        <w:rPr>
          <w:sz w:val="20"/>
          <w:szCs w:val="20"/>
          <w:lang w:val="de-DE"/>
        </w:rPr>
        <w:t xml:space="preserve">In dem </w:t>
      </w:r>
      <w:r w:rsidR="004F6FA1" w:rsidRPr="00451782">
        <w:rPr>
          <w:sz w:val="20"/>
          <w:szCs w:val="20"/>
          <w:u w:val="single"/>
          <w:lang w:val="de-DE"/>
        </w:rPr>
        <w:t>Anhang VII</w:t>
      </w:r>
      <w:r w:rsidR="004F6FA1">
        <w:rPr>
          <w:sz w:val="20"/>
          <w:szCs w:val="20"/>
          <w:lang w:val="de-DE"/>
        </w:rPr>
        <w:t xml:space="preserve"> wurde in Teil A </w:t>
      </w:r>
      <w:r w:rsidR="004F6FA1" w:rsidRPr="004F6FA1">
        <w:rPr>
          <w:sz w:val="20"/>
          <w:szCs w:val="20"/>
          <w:lang w:val="de-DE"/>
        </w:rPr>
        <w:t>Kategorie VIII</w:t>
      </w:r>
      <w:r w:rsidR="004F6FA1">
        <w:rPr>
          <w:sz w:val="20"/>
          <w:szCs w:val="20"/>
          <w:lang w:val="de-DE"/>
        </w:rPr>
        <w:t xml:space="preserve"> ein neuer Abschnitt </w:t>
      </w:r>
      <w:r w:rsidR="004F6FA1" w:rsidRPr="004F6FA1">
        <w:rPr>
          <w:sz w:val="20"/>
          <w:szCs w:val="20"/>
          <w:lang w:val="de-DE"/>
        </w:rPr>
        <w:t>X.C.VIII.005</w:t>
      </w:r>
      <w:r w:rsidR="004F6FA1">
        <w:rPr>
          <w:sz w:val="20"/>
          <w:szCs w:val="20"/>
          <w:lang w:val="de-DE"/>
        </w:rPr>
        <w:t xml:space="preserve"> eingefügt, der verschiedene c</w:t>
      </w:r>
      <w:r w:rsidR="004F6FA1" w:rsidRPr="004F6FA1">
        <w:rPr>
          <w:sz w:val="20"/>
          <w:szCs w:val="20"/>
          <w:lang w:val="de-DE"/>
        </w:rPr>
        <w:t>hemische Bestandteile für Treibstoffe</w:t>
      </w:r>
      <w:r w:rsidR="004F6FA1">
        <w:rPr>
          <w:sz w:val="20"/>
          <w:szCs w:val="20"/>
          <w:lang w:val="de-DE"/>
        </w:rPr>
        <w:t xml:space="preserve"> enthält. In Teil B wurde die Tabelle 5 </w:t>
      </w:r>
      <w:r w:rsidR="004F6FA1" w:rsidRPr="004F6FA1">
        <w:rPr>
          <w:sz w:val="20"/>
          <w:szCs w:val="20"/>
          <w:lang w:val="de-DE"/>
        </w:rPr>
        <w:t>„Werkzeugmaschinen, Ausrüstung für die additive Fertigung und verwandte Waren“</w:t>
      </w:r>
      <w:r w:rsidR="004F6FA1">
        <w:rPr>
          <w:sz w:val="20"/>
          <w:szCs w:val="20"/>
          <w:lang w:val="de-DE"/>
        </w:rPr>
        <w:t xml:space="preserve"> neu </w:t>
      </w:r>
      <w:r w:rsidR="004F6FA1" w:rsidRPr="000A564A">
        <w:rPr>
          <w:sz w:val="20"/>
          <w:szCs w:val="20"/>
          <w:lang w:val="de-DE"/>
        </w:rPr>
        <w:t>gefasst</w:t>
      </w:r>
      <w:r w:rsidR="00451782" w:rsidRPr="000A564A">
        <w:rPr>
          <w:sz w:val="20"/>
          <w:szCs w:val="20"/>
          <w:lang w:val="de-DE"/>
        </w:rPr>
        <w:t xml:space="preserve"> und um </w:t>
      </w:r>
      <w:r w:rsidR="000A564A" w:rsidRPr="000A564A">
        <w:rPr>
          <w:sz w:val="20"/>
          <w:szCs w:val="20"/>
          <w:lang w:val="de-DE"/>
        </w:rPr>
        <w:t xml:space="preserve">Güter der </w:t>
      </w:r>
      <w:r w:rsidR="00451782" w:rsidRPr="000A564A">
        <w:rPr>
          <w:sz w:val="20"/>
          <w:szCs w:val="20"/>
          <w:lang w:val="de-DE"/>
        </w:rPr>
        <w:t xml:space="preserve">KN-Codes 8456 30 und 8456 50 ergänzt. </w:t>
      </w:r>
      <w:r w:rsidR="005B1754" w:rsidRPr="000A564A">
        <w:rPr>
          <w:sz w:val="20"/>
          <w:szCs w:val="20"/>
          <w:lang w:val="de-DE"/>
        </w:rPr>
        <w:t>Ausnahmen in</w:t>
      </w:r>
      <w:r w:rsidR="005B1754">
        <w:rPr>
          <w:sz w:val="20"/>
          <w:szCs w:val="20"/>
          <w:lang w:val="de-DE"/>
        </w:rPr>
        <w:t xml:space="preserve"> Bezug auf bereits abgeschlossene Verträge sind nicht vorgesehen. </w:t>
      </w:r>
    </w:p>
    <w:p w14:paraId="18131210" w14:textId="77777777" w:rsidR="001C6876" w:rsidRDefault="001C6876" w:rsidP="00451782">
      <w:pPr>
        <w:jc w:val="left"/>
        <w:rPr>
          <w:sz w:val="20"/>
          <w:szCs w:val="20"/>
          <w:lang w:val="de-DE"/>
        </w:rPr>
      </w:pPr>
    </w:p>
    <w:p w14:paraId="02A9884B" w14:textId="5D6BD8DC" w:rsidR="00903847" w:rsidRPr="00B51299" w:rsidRDefault="00451782" w:rsidP="00451782">
      <w:pPr>
        <w:jc w:val="left"/>
        <w:rPr>
          <w:sz w:val="20"/>
          <w:szCs w:val="20"/>
          <w:lang w:val="de-DE"/>
        </w:rPr>
      </w:pPr>
      <w:r w:rsidRPr="00B51299">
        <w:rPr>
          <w:sz w:val="20"/>
          <w:szCs w:val="20"/>
          <w:lang w:val="de-DE"/>
        </w:rPr>
        <w:t xml:space="preserve">Der </w:t>
      </w:r>
      <w:r w:rsidRPr="00B51299">
        <w:rPr>
          <w:sz w:val="20"/>
          <w:szCs w:val="20"/>
          <w:u w:val="single"/>
          <w:lang w:val="de-DE"/>
        </w:rPr>
        <w:t>Anhang XXIII</w:t>
      </w:r>
      <w:r w:rsidRPr="00B51299">
        <w:rPr>
          <w:sz w:val="20"/>
          <w:szCs w:val="20"/>
          <w:lang w:val="de-DE"/>
        </w:rPr>
        <w:t xml:space="preserve"> wurde </w:t>
      </w:r>
      <w:r w:rsidR="005B1754" w:rsidRPr="00B51299">
        <w:rPr>
          <w:sz w:val="20"/>
          <w:szCs w:val="20"/>
          <w:lang w:val="de-DE"/>
        </w:rPr>
        <w:t xml:space="preserve">komplett </w:t>
      </w:r>
      <w:r w:rsidRPr="00B51299">
        <w:rPr>
          <w:sz w:val="20"/>
          <w:szCs w:val="20"/>
          <w:lang w:val="de-DE"/>
        </w:rPr>
        <w:t>neu gefasst</w:t>
      </w:r>
      <w:r w:rsidR="005B1754" w:rsidRPr="00B51299">
        <w:rPr>
          <w:sz w:val="20"/>
          <w:szCs w:val="20"/>
          <w:lang w:val="de-DE"/>
        </w:rPr>
        <w:t>. Welche Güter neu hinzugekommen sind, ergibt sich aus den neu angefügten Anhängen XXIIIE und XXIIIF</w:t>
      </w:r>
      <w:r w:rsidR="00D82E13" w:rsidRPr="00B51299">
        <w:rPr>
          <w:sz w:val="20"/>
          <w:szCs w:val="20"/>
          <w:lang w:val="de-DE"/>
        </w:rPr>
        <w:t xml:space="preserve">. Für diese Güter gelten gemäß Art. 3k Abs. 3ah und Abs. 3ai zeitlich befristete </w:t>
      </w:r>
      <w:r w:rsidR="00656CA9" w:rsidRPr="00B51299">
        <w:rPr>
          <w:sz w:val="20"/>
          <w:szCs w:val="20"/>
          <w:lang w:val="de-DE"/>
        </w:rPr>
        <w:t>„</w:t>
      </w:r>
      <w:r w:rsidR="00D82E13" w:rsidRPr="00B51299">
        <w:rPr>
          <w:sz w:val="20"/>
          <w:szCs w:val="20"/>
          <w:lang w:val="de-DE"/>
        </w:rPr>
        <w:t>Altvertragsausnahmen</w:t>
      </w:r>
      <w:r w:rsidR="00656CA9" w:rsidRPr="00B51299">
        <w:rPr>
          <w:sz w:val="20"/>
          <w:szCs w:val="20"/>
          <w:lang w:val="de-DE"/>
        </w:rPr>
        <w:t>“</w:t>
      </w:r>
      <w:r w:rsidR="00D82E13" w:rsidRPr="00B51299">
        <w:rPr>
          <w:sz w:val="20"/>
          <w:szCs w:val="20"/>
          <w:lang w:val="de-DE"/>
        </w:rPr>
        <w:t xml:space="preserve"> </w:t>
      </w:r>
      <w:r w:rsidR="00356F06">
        <w:rPr>
          <w:sz w:val="20"/>
          <w:szCs w:val="20"/>
          <w:lang w:val="de-DE"/>
        </w:rPr>
        <w:t xml:space="preserve">für vor dem 20.07.2025 geschlossene Verträge </w:t>
      </w:r>
      <w:r w:rsidR="00D82E13" w:rsidRPr="00B51299">
        <w:rPr>
          <w:sz w:val="20"/>
          <w:szCs w:val="20"/>
          <w:lang w:val="de-DE"/>
        </w:rPr>
        <w:t>bis zum 21.10.2025 bzw. 21.01.2026.</w:t>
      </w:r>
      <w:r w:rsidR="001C6876" w:rsidRPr="00B51299">
        <w:rPr>
          <w:sz w:val="20"/>
          <w:szCs w:val="20"/>
          <w:lang w:val="de-DE"/>
        </w:rPr>
        <w:t xml:space="preserve"> </w:t>
      </w:r>
      <w:r w:rsidR="00E51049" w:rsidRPr="00B51299">
        <w:rPr>
          <w:sz w:val="20"/>
          <w:szCs w:val="20"/>
          <w:lang w:val="de-DE"/>
        </w:rPr>
        <w:t xml:space="preserve">Für Güter des KN-Codes 3402 90 </w:t>
      </w:r>
      <w:r w:rsidR="00356F06">
        <w:rPr>
          <w:sz w:val="20"/>
          <w:szCs w:val="20"/>
          <w:lang w:val="de-DE"/>
        </w:rPr>
        <w:t>kann</w:t>
      </w:r>
      <w:r w:rsidR="00E51049" w:rsidRPr="00B51299">
        <w:rPr>
          <w:sz w:val="20"/>
          <w:szCs w:val="20"/>
          <w:lang w:val="de-DE"/>
        </w:rPr>
        <w:t xml:space="preserve"> gemäß Art. 3k Abs. 5i </w:t>
      </w:r>
      <w:r w:rsidR="003F1C6F">
        <w:rPr>
          <w:sz w:val="20"/>
          <w:szCs w:val="20"/>
          <w:lang w:val="de-DE"/>
        </w:rPr>
        <w:t xml:space="preserve">zudem </w:t>
      </w:r>
      <w:r w:rsidR="00E51049" w:rsidRPr="00B51299">
        <w:rPr>
          <w:sz w:val="20"/>
          <w:szCs w:val="20"/>
          <w:lang w:val="de-DE"/>
        </w:rPr>
        <w:t xml:space="preserve">eine </w:t>
      </w:r>
      <w:r w:rsidR="00356F06">
        <w:rPr>
          <w:sz w:val="20"/>
          <w:szCs w:val="20"/>
          <w:lang w:val="de-DE"/>
        </w:rPr>
        <w:t>Genehmigung erteilt werden</w:t>
      </w:r>
      <w:r w:rsidR="003F1C6F">
        <w:rPr>
          <w:sz w:val="20"/>
          <w:szCs w:val="20"/>
          <w:lang w:val="de-DE"/>
        </w:rPr>
        <w:t xml:space="preserve">, wenn die Güter für die Erfüllung von vor dem 01.01.2025 geschlossenen Verträgen erforderlich sind. </w:t>
      </w:r>
      <w:r w:rsidR="001C6876" w:rsidRPr="00B51299">
        <w:rPr>
          <w:sz w:val="20"/>
          <w:szCs w:val="20"/>
          <w:lang w:val="de-DE"/>
        </w:rPr>
        <w:t>Ferner kann gemäß Art. 3k Abs. 5h in Bezug auf Güter des KN-Codes 8422 30</w:t>
      </w:r>
      <w:r w:rsidR="00B51299" w:rsidRPr="00B51299">
        <w:rPr>
          <w:sz w:val="20"/>
          <w:szCs w:val="20"/>
          <w:lang w:val="de-DE"/>
        </w:rPr>
        <w:t xml:space="preserve"> eine Genehmigung erteilt werden</w:t>
      </w:r>
      <w:r w:rsidR="001C6876" w:rsidRPr="00B51299">
        <w:rPr>
          <w:sz w:val="20"/>
          <w:szCs w:val="20"/>
          <w:lang w:val="de-DE"/>
        </w:rPr>
        <w:t xml:space="preserve">, </w:t>
      </w:r>
      <w:r w:rsidR="009C7F23" w:rsidRPr="00B51299">
        <w:rPr>
          <w:sz w:val="20"/>
          <w:szCs w:val="20"/>
          <w:lang w:val="de-DE"/>
        </w:rPr>
        <w:t>wenn die Güter für die Verpackung von Lebensmitteln, Getränken und Pharmazeutika erforderlich sind.</w:t>
      </w:r>
    </w:p>
    <w:p w14:paraId="5794B562" w14:textId="77777777" w:rsidR="000A564A" w:rsidRDefault="000A564A" w:rsidP="00451782">
      <w:pPr>
        <w:jc w:val="left"/>
        <w:rPr>
          <w:sz w:val="20"/>
          <w:szCs w:val="20"/>
          <w:lang w:val="de-DE"/>
        </w:rPr>
      </w:pPr>
    </w:p>
    <w:p w14:paraId="6A169D48" w14:textId="275E5876" w:rsidR="001A2DCC" w:rsidRDefault="008266DD" w:rsidP="001A2DCC">
      <w:pPr>
        <w:jc w:val="left"/>
        <w:rPr>
          <w:sz w:val="20"/>
          <w:szCs w:val="20"/>
          <w:lang w:val="de-DE"/>
        </w:rPr>
      </w:pPr>
      <w:r>
        <w:rPr>
          <w:sz w:val="20"/>
          <w:szCs w:val="20"/>
          <w:lang w:val="de-DE"/>
        </w:rPr>
        <w:t xml:space="preserve">Art. 3k Abs. 1a der </w:t>
      </w:r>
      <w:r w:rsidR="00514758">
        <w:rPr>
          <w:sz w:val="20"/>
          <w:szCs w:val="20"/>
          <w:lang w:val="de-DE"/>
        </w:rPr>
        <w:t xml:space="preserve">VO (EU) Nr. 833/2014 </w:t>
      </w:r>
      <w:r>
        <w:rPr>
          <w:sz w:val="20"/>
          <w:szCs w:val="20"/>
          <w:lang w:val="de-DE"/>
        </w:rPr>
        <w:t>verbietet d</w:t>
      </w:r>
      <w:r w:rsidRPr="008266DD">
        <w:rPr>
          <w:sz w:val="20"/>
          <w:szCs w:val="20"/>
          <w:lang w:val="de-DE"/>
        </w:rPr>
        <w:t xml:space="preserve">ie Durchfuhr von in </w:t>
      </w:r>
      <w:r w:rsidRPr="00B341A9">
        <w:rPr>
          <w:sz w:val="20"/>
          <w:szCs w:val="20"/>
          <w:u w:val="single"/>
          <w:lang w:val="de-DE"/>
        </w:rPr>
        <w:t>Anhang XXXVII</w:t>
      </w:r>
      <w:r w:rsidRPr="008266DD">
        <w:rPr>
          <w:sz w:val="20"/>
          <w:szCs w:val="20"/>
          <w:lang w:val="de-DE"/>
        </w:rPr>
        <w:t xml:space="preserve"> aufgeführten Gütern und Technologien, die aus der Union ausgeführt werden, durch das Hoheitsgebiet Russlands</w:t>
      </w:r>
      <w:r>
        <w:rPr>
          <w:sz w:val="20"/>
          <w:szCs w:val="20"/>
          <w:lang w:val="de-DE"/>
        </w:rPr>
        <w:t>. Auch dieser</w:t>
      </w:r>
      <w:r w:rsidR="00B341A9">
        <w:rPr>
          <w:sz w:val="20"/>
          <w:szCs w:val="20"/>
          <w:lang w:val="de-DE"/>
        </w:rPr>
        <w:t xml:space="preserve"> Anhang wurde neu gefasst. </w:t>
      </w:r>
      <w:r w:rsidR="003F74C4">
        <w:rPr>
          <w:sz w:val="20"/>
          <w:szCs w:val="20"/>
          <w:lang w:val="de-DE"/>
        </w:rPr>
        <w:t xml:space="preserve">Neu hinzugekommen sind Güter der KN-Codes </w:t>
      </w:r>
      <w:r w:rsidR="00F4638C" w:rsidRPr="00F4638C">
        <w:rPr>
          <w:sz w:val="20"/>
          <w:szCs w:val="20"/>
          <w:lang w:val="de-DE"/>
        </w:rPr>
        <w:t>7308 90</w:t>
      </w:r>
      <w:r w:rsidR="003F74C4">
        <w:rPr>
          <w:sz w:val="20"/>
          <w:szCs w:val="20"/>
          <w:lang w:val="de-DE"/>
        </w:rPr>
        <w:t xml:space="preserve">, </w:t>
      </w:r>
      <w:r w:rsidR="00F4638C" w:rsidRPr="00F4638C">
        <w:rPr>
          <w:sz w:val="20"/>
          <w:szCs w:val="20"/>
          <w:lang w:val="de-DE"/>
        </w:rPr>
        <w:t>8419 50</w:t>
      </w:r>
      <w:r w:rsidR="003F74C4">
        <w:rPr>
          <w:sz w:val="20"/>
          <w:szCs w:val="20"/>
          <w:lang w:val="de-DE"/>
        </w:rPr>
        <w:t xml:space="preserve">, </w:t>
      </w:r>
      <w:r w:rsidR="00F4638C" w:rsidRPr="00F4638C">
        <w:rPr>
          <w:sz w:val="20"/>
          <w:szCs w:val="20"/>
          <w:lang w:val="de-DE"/>
        </w:rPr>
        <w:t>8419 89</w:t>
      </w:r>
      <w:r w:rsidR="003F74C4">
        <w:rPr>
          <w:sz w:val="20"/>
          <w:szCs w:val="20"/>
          <w:lang w:val="de-DE"/>
        </w:rPr>
        <w:t xml:space="preserve">, </w:t>
      </w:r>
      <w:r w:rsidR="00F4638C" w:rsidRPr="00F4638C">
        <w:rPr>
          <w:sz w:val="20"/>
          <w:szCs w:val="20"/>
          <w:lang w:val="de-DE"/>
        </w:rPr>
        <w:t>8419 90</w:t>
      </w:r>
      <w:r w:rsidR="003F74C4">
        <w:rPr>
          <w:sz w:val="20"/>
          <w:szCs w:val="20"/>
          <w:lang w:val="de-DE"/>
        </w:rPr>
        <w:t xml:space="preserve">, </w:t>
      </w:r>
      <w:r w:rsidR="001A2DCC" w:rsidRPr="00BE46CD">
        <w:rPr>
          <w:sz w:val="20"/>
          <w:szCs w:val="20"/>
          <w:lang w:val="de-DE"/>
        </w:rPr>
        <w:t>8479 82</w:t>
      </w:r>
      <w:r w:rsidR="003F74C4" w:rsidRPr="00BE46CD">
        <w:rPr>
          <w:sz w:val="20"/>
          <w:szCs w:val="20"/>
          <w:lang w:val="de-DE"/>
        </w:rPr>
        <w:t xml:space="preserve">, </w:t>
      </w:r>
      <w:r w:rsidR="001A2DCC" w:rsidRPr="00BE46CD">
        <w:rPr>
          <w:sz w:val="20"/>
          <w:szCs w:val="20"/>
          <w:lang w:val="de-DE"/>
        </w:rPr>
        <w:t>8701</w:t>
      </w:r>
      <w:r w:rsidR="001A2DCC" w:rsidRPr="001A2DCC">
        <w:rPr>
          <w:sz w:val="20"/>
          <w:szCs w:val="20"/>
          <w:lang w:val="de-DE"/>
        </w:rPr>
        <w:t xml:space="preserve"> 21</w:t>
      </w:r>
      <w:r w:rsidR="003F74C4">
        <w:rPr>
          <w:sz w:val="20"/>
          <w:szCs w:val="20"/>
          <w:lang w:val="de-DE"/>
        </w:rPr>
        <w:t xml:space="preserve">, </w:t>
      </w:r>
      <w:r w:rsidR="001A2DCC" w:rsidRPr="001A2DCC">
        <w:rPr>
          <w:sz w:val="20"/>
          <w:szCs w:val="20"/>
          <w:lang w:val="de-DE"/>
        </w:rPr>
        <w:t>8716 39</w:t>
      </w:r>
      <w:r w:rsidR="003F74C4">
        <w:rPr>
          <w:sz w:val="20"/>
          <w:szCs w:val="20"/>
          <w:lang w:val="de-DE"/>
        </w:rPr>
        <w:t xml:space="preserve"> und </w:t>
      </w:r>
      <w:r w:rsidR="001A2DCC" w:rsidRPr="001A2DCC">
        <w:rPr>
          <w:sz w:val="20"/>
          <w:szCs w:val="20"/>
          <w:lang w:val="de-DE"/>
        </w:rPr>
        <w:t>8716 90</w:t>
      </w:r>
      <w:r w:rsidR="003F74C4">
        <w:rPr>
          <w:sz w:val="20"/>
          <w:szCs w:val="20"/>
          <w:lang w:val="de-DE"/>
        </w:rPr>
        <w:t>.</w:t>
      </w:r>
    </w:p>
    <w:p w14:paraId="16DBF658" w14:textId="77777777" w:rsidR="001A2DCC" w:rsidRDefault="001A2DCC" w:rsidP="00E82C13">
      <w:pPr>
        <w:jc w:val="left"/>
        <w:rPr>
          <w:sz w:val="20"/>
          <w:szCs w:val="20"/>
          <w:lang w:val="de-DE"/>
        </w:rPr>
      </w:pPr>
    </w:p>
    <w:p w14:paraId="104176E6" w14:textId="47DB4DA6" w:rsidR="0031094C" w:rsidRPr="002416FF" w:rsidRDefault="0031094C" w:rsidP="0031094C">
      <w:pPr>
        <w:jc w:val="left"/>
        <w:rPr>
          <w:b/>
          <w:bCs/>
          <w:i/>
          <w:iCs/>
          <w:color w:val="C00000"/>
          <w:sz w:val="20"/>
          <w:szCs w:val="20"/>
          <w:lang w:val="de-DE"/>
        </w:rPr>
      </w:pPr>
      <w:r w:rsidRPr="002416FF">
        <w:rPr>
          <w:b/>
          <w:bCs/>
          <w:i/>
          <w:iCs/>
          <w:color w:val="C00000"/>
          <w:sz w:val="20"/>
          <w:szCs w:val="20"/>
          <w:lang w:val="de-DE"/>
        </w:rPr>
        <w:t>Exportverbote</w:t>
      </w:r>
      <w:r>
        <w:rPr>
          <w:b/>
          <w:bCs/>
          <w:i/>
          <w:iCs/>
          <w:color w:val="C00000"/>
          <w:sz w:val="20"/>
          <w:szCs w:val="20"/>
          <w:lang w:val="de-DE"/>
        </w:rPr>
        <w:t>: Sonstiges</w:t>
      </w:r>
    </w:p>
    <w:p w14:paraId="0B6CAA19" w14:textId="77777777" w:rsidR="0031094C" w:rsidRDefault="0031094C" w:rsidP="00E82C13">
      <w:pPr>
        <w:jc w:val="left"/>
        <w:rPr>
          <w:sz w:val="20"/>
          <w:szCs w:val="20"/>
          <w:lang w:val="de-DE"/>
        </w:rPr>
      </w:pPr>
    </w:p>
    <w:p w14:paraId="7B7D5B81" w14:textId="35C68264" w:rsidR="00D9426F" w:rsidRDefault="00507D7F" w:rsidP="00D9426F">
      <w:pPr>
        <w:jc w:val="left"/>
        <w:rPr>
          <w:sz w:val="20"/>
          <w:szCs w:val="20"/>
          <w:lang w:val="de-DE"/>
        </w:rPr>
      </w:pPr>
      <w:r>
        <w:rPr>
          <w:sz w:val="20"/>
          <w:szCs w:val="20"/>
          <w:lang w:val="de-DE"/>
        </w:rPr>
        <w:t xml:space="preserve">In dem Erwägungsgrund </w:t>
      </w:r>
      <w:r w:rsidR="00D9426F" w:rsidRPr="00D9426F">
        <w:rPr>
          <w:sz w:val="20"/>
          <w:szCs w:val="20"/>
          <w:lang w:val="de-DE"/>
        </w:rPr>
        <w:t>(7)</w:t>
      </w:r>
      <w:r>
        <w:rPr>
          <w:sz w:val="20"/>
          <w:szCs w:val="20"/>
          <w:lang w:val="de-DE"/>
        </w:rPr>
        <w:t xml:space="preserve"> der </w:t>
      </w:r>
      <w:r w:rsidRPr="00507D7F">
        <w:rPr>
          <w:sz w:val="20"/>
          <w:szCs w:val="20"/>
          <w:lang w:val="de-DE"/>
        </w:rPr>
        <w:t>Verordnung (EU) 2025/1494 vom 18. Juli 2025</w:t>
      </w:r>
      <w:r>
        <w:rPr>
          <w:sz w:val="20"/>
          <w:szCs w:val="20"/>
          <w:lang w:val="de-DE"/>
        </w:rPr>
        <w:t xml:space="preserve"> wird klargestellt, dass das Verbot </w:t>
      </w:r>
      <w:r w:rsidRPr="00BA1B55">
        <w:rPr>
          <w:i/>
          <w:iCs/>
          <w:sz w:val="20"/>
          <w:szCs w:val="20"/>
          <w:lang w:val="de-DE"/>
        </w:rPr>
        <w:t>mittelbarer</w:t>
      </w:r>
      <w:r w:rsidRPr="00507D7F">
        <w:rPr>
          <w:sz w:val="20"/>
          <w:szCs w:val="20"/>
          <w:lang w:val="de-DE"/>
        </w:rPr>
        <w:t xml:space="preserve"> Ausfuhren </w:t>
      </w:r>
      <w:r w:rsidR="00BA1B55">
        <w:rPr>
          <w:sz w:val="20"/>
          <w:szCs w:val="20"/>
          <w:lang w:val="de-DE"/>
        </w:rPr>
        <w:t>gerade und insbesondere auch Lieferungen über Drittländer erfasst</w:t>
      </w:r>
      <w:r w:rsidR="003846FE">
        <w:rPr>
          <w:sz w:val="20"/>
          <w:szCs w:val="20"/>
          <w:lang w:val="de-DE"/>
        </w:rPr>
        <w:t xml:space="preserve">. Um Umgehungen der Embargomaßnahmen </w:t>
      </w:r>
      <w:r w:rsidR="002A7E9A">
        <w:rPr>
          <w:sz w:val="20"/>
          <w:szCs w:val="20"/>
          <w:lang w:val="de-DE"/>
        </w:rPr>
        <w:t>in derartigen Fällen</w:t>
      </w:r>
      <w:r w:rsidR="003846FE">
        <w:rPr>
          <w:sz w:val="20"/>
          <w:szCs w:val="20"/>
          <w:lang w:val="de-DE"/>
        </w:rPr>
        <w:t xml:space="preserve"> entgegenzuwirken, </w:t>
      </w:r>
      <w:r w:rsidR="002A7E9A">
        <w:rPr>
          <w:sz w:val="20"/>
          <w:szCs w:val="20"/>
          <w:lang w:val="de-DE"/>
        </w:rPr>
        <w:t>wurde – zunächst einmal nur in Bezug auf die Güter gemäß Anhang VII – ein bereits aus der Dual-Use-</w:t>
      </w:r>
      <w:r w:rsidR="006E5FD5">
        <w:rPr>
          <w:sz w:val="20"/>
          <w:szCs w:val="20"/>
          <w:lang w:val="de-DE"/>
        </w:rPr>
        <w:t>VO</w:t>
      </w:r>
      <w:r w:rsidR="002A7E9A">
        <w:rPr>
          <w:sz w:val="20"/>
          <w:szCs w:val="20"/>
          <w:lang w:val="de-DE"/>
        </w:rPr>
        <w:t xml:space="preserve"> bekannter „</w:t>
      </w:r>
      <w:r w:rsidR="004E2BD4" w:rsidRPr="00BE6E43">
        <w:rPr>
          <w:sz w:val="20"/>
          <w:szCs w:val="20"/>
          <w:u w:val="single"/>
          <w:lang w:val="de-DE"/>
        </w:rPr>
        <w:t>Catch-All-</w:t>
      </w:r>
      <w:r w:rsidR="002A7E9A" w:rsidRPr="00BE6E43">
        <w:rPr>
          <w:sz w:val="20"/>
          <w:szCs w:val="20"/>
          <w:u w:val="single"/>
          <w:lang w:val="de-DE"/>
        </w:rPr>
        <w:t>Mechanismus</w:t>
      </w:r>
      <w:r w:rsidR="002A7E9A">
        <w:rPr>
          <w:sz w:val="20"/>
          <w:szCs w:val="20"/>
          <w:lang w:val="de-DE"/>
        </w:rPr>
        <w:t>“ eingeführt</w:t>
      </w:r>
      <w:r w:rsidR="00EF423F">
        <w:rPr>
          <w:sz w:val="20"/>
          <w:szCs w:val="20"/>
          <w:lang w:val="de-DE"/>
        </w:rPr>
        <w:t xml:space="preserve"> (neuer Art. 2a Abs. 1aa</w:t>
      </w:r>
      <w:r w:rsidR="00514758">
        <w:rPr>
          <w:sz w:val="20"/>
          <w:szCs w:val="20"/>
          <w:lang w:val="de-DE"/>
        </w:rPr>
        <w:t xml:space="preserve"> der </w:t>
      </w:r>
      <w:r w:rsidR="00514758">
        <w:rPr>
          <w:sz w:val="20"/>
          <w:szCs w:val="20"/>
          <w:lang w:val="de-DE"/>
        </w:rPr>
        <w:t>VO (EU) Nr. 833/2014</w:t>
      </w:r>
      <w:r w:rsidR="00EF423F">
        <w:rPr>
          <w:sz w:val="20"/>
          <w:szCs w:val="20"/>
          <w:lang w:val="de-DE"/>
        </w:rPr>
        <w:t>)</w:t>
      </w:r>
      <w:r w:rsidR="002A7E9A">
        <w:rPr>
          <w:sz w:val="20"/>
          <w:szCs w:val="20"/>
          <w:lang w:val="de-DE"/>
        </w:rPr>
        <w:t xml:space="preserve">: </w:t>
      </w:r>
      <w:r w:rsidR="00D63365">
        <w:rPr>
          <w:sz w:val="20"/>
          <w:szCs w:val="20"/>
          <w:lang w:val="de-DE"/>
        </w:rPr>
        <w:t xml:space="preserve">So bedarf die </w:t>
      </w:r>
      <w:r w:rsidR="00D63365" w:rsidRPr="00D63365">
        <w:rPr>
          <w:sz w:val="20"/>
          <w:szCs w:val="20"/>
          <w:lang w:val="de-DE"/>
        </w:rPr>
        <w:t xml:space="preserve">Ausfuhr von in Anhang VII aufgeführten Gütern und Technologien in andere Drittländer als Russland </w:t>
      </w:r>
      <w:r w:rsidR="006E5FD5">
        <w:rPr>
          <w:sz w:val="20"/>
          <w:szCs w:val="20"/>
          <w:lang w:val="de-DE"/>
        </w:rPr>
        <w:t xml:space="preserve">ab sofort </w:t>
      </w:r>
      <w:r w:rsidR="00D63365" w:rsidRPr="00D63365">
        <w:rPr>
          <w:sz w:val="20"/>
          <w:szCs w:val="20"/>
          <w:lang w:val="de-DE"/>
        </w:rPr>
        <w:t>eine</w:t>
      </w:r>
      <w:r w:rsidR="00D63365">
        <w:rPr>
          <w:sz w:val="20"/>
          <w:szCs w:val="20"/>
          <w:lang w:val="de-DE"/>
        </w:rPr>
        <w:t xml:space="preserve">r </w:t>
      </w:r>
      <w:r w:rsidR="00D63365" w:rsidRPr="00D63365">
        <w:rPr>
          <w:sz w:val="20"/>
          <w:szCs w:val="20"/>
          <w:lang w:val="de-DE"/>
        </w:rPr>
        <w:lastRenderedPageBreak/>
        <w:t>Genehmigung</w:t>
      </w:r>
      <w:r w:rsidR="00D63365">
        <w:rPr>
          <w:sz w:val="20"/>
          <w:szCs w:val="20"/>
          <w:lang w:val="de-DE"/>
        </w:rPr>
        <w:t xml:space="preserve">, </w:t>
      </w:r>
      <w:r w:rsidR="00D63365" w:rsidRPr="00D63365">
        <w:rPr>
          <w:sz w:val="20"/>
          <w:szCs w:val="20"/>
          <w:lang w:val="de-DE"/>
        </w:rPr>
        <w:t xml:space="preserve">wenn der Ausführer von der zuständigen Behörde darüber </w:t>
      </w:r>
      <w:r w:rsidR="00D63365" w:rsidRPr="00D63365">
        <w:rPr>
          <w:sz w:val="20"/>
          <w:szCs w:val="20"/>
          <w:u w:val="single"/>
          <w:lang w:val="de-DE"/>
        </w:rPr>
        <w:t>unterrichtet</w:t>
      </w:r>
      <w:r w:rsidR="00D63365" w:rsidRPr="00D63365">
        <w:rPr>
          <w:sz w:val="20"/>
          <w:szCs w:val="20"/>
          <w:lang w:val="de-DE"/>
        </w:rPr>
        <w:t xml:space="preserve"> wurde, dass die Güter und Technologien ganz oder teilweise für natürliche oder juristische Personen, Organisationen oder Einrichtungen in Russland oder zur Verwendung in Russland bestimmt sind oder bestimmt sein könnten</w:t>
      </w:r>
      <w:r w:rsidR="00D63365">
        <w:rPr>
          <w:sz w:val="20"/>
          <w:szCs w:val="20"/>
          <w:lang w:val="de-DE"/>
        </w:rPr>
        <w:t xml:space="preserve">. </w:t>
      </w:r>
      <w:r w:rsidR="007B7180">
        <w:rPr>
          <w:sz w:val="20"/>
          <w:szCs w:val="20"/>
          <w:lang w:val="de-DE"/>
        </w:rPr>
        <w:t xml:space="preserve">Anders als in Art. 4 Abs. 2 der Dual-Use-VO wurde aber keine Verpflichtung des Ausführers aufgenommen, wonach umgekehrt er die Behörde zu unterrichten hat, falls er anderweitig von einer Endverwendung in Russland Kenntnis erlangt hat. </w:t>
      </w:r>
      <w:r w:rsidR="00CD4668">
        <w:rPr>
          <w:sz w:val="20"/>
          <w:szCs w:val="20"/>
          <w:lang w:val="de-DE"/>
        </w:rPr>
        <w:t>Einer solchen Regelung bedarf es auch nicht, denn einerseits wurde klargestellt</w:t>
      </w:r>
      <w:r w:rsidR="00DA6A89">
        <w:rPr>
          <w:sz w:val="20"/>
          <w:szCs w:val="20"/>
          <w:lang w:val="de-DE"/>
        </w:rPr>
        <w:t xml:space="preserve">, dass das Verbot der mittelbaren Ausfuhr </w:t>
      </w:r>
      <w:r w:rsidR="00CD4668">
        <w:rPr>
          <w:sz w:val="20"/>
          <w:szCs w:val="20"/>
          <w:lang w:val="de-DE"/>
        </w:rPr>
        <w:t>unberührt bleibt</w:t>
      </w:r>
      <w:r w:rsidR="00DA6A89">
        <w:rPr>
          <w:sz w:val="20"/>
          <w:szCs w:val="20"/>
          <w:lang w:val="de-DE"/>
        </w:rPr>
        <w:t xml:space="preserve">, das heißt der Ausführer bleibt </w:t>
      </w:r>
      <w:r w:rsidR="006E5FD5">
        <w:rPr>
          <w:sz w:val="20"/>
          <w:szCs w:val="20"/>
          <w:lang w:val="de-DE"/>
        </w:rPr>
        <w:t xml:space="preserve">(auch ohne Unterrichtung durch die Behörde) </w:t>
      </w:r>
      <w:r w:rsidR="00DA6A89">
        <w:rPr>
          <w:sz w:val="20"/>
          <w:szCs w:val="20"/>
          <w:lang w:val="de-DE"/>
        </w:rPr>
        <w:t xml:space="preserve">unverändert selbst dafür verantwortlich, </w:t>
      </w:r>
      <w:r w:rsidR="006E5FD5">
        <w:rPr>
          <w:sz w:val="20"/>
          <w:szCs w:val="20"/>
          <w:lang w:val="de-DE"/>
        </w:rPr>
        <w:t xml:space="preserve">einen Re-Export nach Russland auszuschließen. </w:t>
      </w:r>
      <w:r w:rsidR="00CD4668">
        <w:rPr>
          <w:sz w:val="20"/>
          <w:szCs w:val="20"/>
          <w:lang w:val="de-DE"/>
        </w:rPr>
        <w:t>Andererseits besteht gemäß Art. 6b der VO (EU) Nr. 833/2014 sowieso eine „</w:t>
      </w:r>
      <w:proofErr w:type="spellStart"/>
      <w:r w:rsidR="00CD4668">
        <w:rPr>
          <w:sz w:val="20"/>
          <w:szCs w:val="20"/>
          <w:lang w:val="de-DE"/>
        </w:rPr>
        <w:t>Jedermannspflicht</w:t>
      </w:r>
      <w:proofErr w:type="spellEnd"/>
      <w:r w:rsidR="00CD4668">
        <w:rPr>
          <w:sz w:val="20"/>
          <w:szCs w:val="20"/>
          <w:lang w:val="de-DE"/>
        </w:rPr>
        <w:t>“</w:t>
      </w:r>
      <w:r w:rsidR="00685FE2">
        <w:rPr>
          <w:sz w:val="20"/>
          <w:szCs w:val="20"/>
          <w:lang w:val="de-DE"/>
        </w:rPr>
        <w:t xml:space="preserve">, der Behörde alle Informationen zukommen zu lassen, </w:t>
      </w:r>
      <w:r w:rsidR="00685FE2" w:rsidRPr="00685FE2">
        <w:rPr>
          <w:sz w:val="20"/>
          <w:szCs w:val="20"/>
          <w:lang w:val="de-DE"/>
        </w:rPr>
        <w:t xml:space="preserve">die die Umsetzung </w:t>
      </w:r>
      <w:r w:rsidR="00685FE2">
        <w:rPr>
          <w:sz w:val="20"/>
          <w:szCs w:val="20"/>
          <w:lang w:val="de-DE"/>
        </w:rPr>
        <w:t>der Embargomaßnahmen</w:t>
      </w:r>
      <w:r w:rsidR="00685FE2" w:rsidRPr="00685FE2">
        <w:rPr>
          <w:sz w:val="20"/>
          <w:szCs w:val="20"/>
          <w:lang w:val="de-DE"/>
        </w:rPr>
        <w:t xml:space="preserve"> erleichtern</w:t>
      </w:r>
      <w:r w:rsidR="00685FE2">
        <w:rPr>
          <w:sz w:val="20"/>
          <w:szCs w:val="20"/>
          <w:lang w:val="de-DE"/>
        </w:rPr>
        <w:t xml:space="preserve">, und mit der Behörde </w:t>
      </w:r>
      <w:r w:rsidR="00685FE2" w:rsidRPr="00685FE2">
        <w:rPr>
          <w:sz w:val="20"/>
          <w:szCs w:val="20"/>
          <w:lang w:val="de-DE"/>
        </w:rPr>
        <w:t>bei der Überprüfung solcher Informationen zusammenzuarbeiten</w:t>
      </w:r>
      <w:r w:rsidR="00685FE2">
        <w:rPr>
          <w:sz w:val="20"/>
          <w:szCs w:val="20"/>
          <w:lang w:val="de-DE"/>
        </w:rPr>
        <w:t>.</w:t>
      </w:r>
    </w:p>
    <w:p w14:paraId="150FEE52" w14:textId="77777777" w:rsidR="004F26D8" w:rsidRPr="00FB3D78" w:rsidRDefault="004F26D8" w:rsidP="004F26D8">
      <w:pPr>
        <w:jc w:val="left"/>
        <w:rPr>
          <w:sz w:val="20"/>
          <w:szCs w:val="20"/>
          <w:lang w:val="de-DE"/>
        </w:rPr>
      </w:pPr>
    </w:p>
    <w:p w14:paraId="19FB3BBC" w14:textId="77777777" w:rsidR="00F02994" w:rsidRPr="002416FF" w:rsidRDefault="00F02994" w:rsidP="00F02994">
      <w:pPr>
        <w:jc w:val="left"/>
        <w:rPr>
          <w:b/>
          <w:bCs/>
          <w:i/>
          <w:iCs/>
          <w:color w:val="C00000"/>
          <w:sz w:val="20"/>
          <w:szCs w:val="20"/>
          <w:lang w:val="de-DE"/>
        </w:rPr>
      </w:pPr>
      <w:r w:rsidRPr="002416FF">
        <w:rPr>
          <w:b/>
          <w:bCs/>
          <w:i/>
          <w:iCs/>
          <w:color w:val="C00000"/>
          <w:sz w:val="20"/>
          <w:szCs w:val="20"/>
          <w:lang w:val="de-DE"/>
        </w:rPr>
        <w:t>Importverbote</w:t>
      </w:r>
    </w:p>
    <w:p w14:paraId="562F59C9" w14:textId="77777777" w:rsidR="00F02994" w:rsidRPr="00F75CA3" w:rsidRDefault="00F02994" w:rsidP="00F02994">
      <w:pPr>
        <w:jc w:val="left"/>
        <w:rPr>
          <w:color w:val="002060"/>
          <w:sz w:val="20"/>
          <w:szCs w:val="20"/>
          <w:lang w:val="de-DE"/>
        </w:rPr>
      </w:pPr>
    </w:p>
    <w:p w14:paraId="38210958" w14:textId="5E6D8529" w:rsidR="00F02994" w:rsidRPr="00823DB8" w:rsidRDefault="00F02994" w:rsidP="00F02994">
      <w:pPr>
        <w:jc w:val="left"/>
        <w:rPr>
          <w:sz w:val="20"/>
          <w:szCs w:val="20"/>
          <w:lang w:val="de-DE"/>
        </w:rPr>
      </w:pPr>
      <w:r w:rsidRPr="00823DB8">
        <w:rPr>
          <w:sz w:val="20"/>
          <w:szCs w:val="20"/>
          <w:lang w:val="de-DE"/>
        </w:rPr>
        <w:t xml:space="preserve">Mit dem 18. Sanktionspaket wurde ein neuer Art. 3ma </w:t>
      </w:r>
      <w:r w:rsidR="00514758" w:rsidRPr="00823DB8">
        <w:rPr>
          <w:sz w:val="20"/>
          <w:szCs w:val="20"/>
          <w:lang w:val="de-DE"/>
        </w:rPr>
        <w:t xml:space="preserve">in die </w:t>
      </w:r>
      <w:r w:rsidR="00514758" w:rsidRPr="00823DB8">
        <w:rPr>
          <w:sz w:val="20"/>
          <w:szCs w:val="20"/>
          <w:lang w:val="de-DE"/>
        </w:rPr>
        <w:t>VO (EU) Nr. 833/2014</w:t>
      </w:r>
      <w:r w:rsidR="00514758" w:rsidRPr="00823DB8">
        <w:rPr>
          <w:sz w:val="20"/>
          <w:szCs w:val="20"/>
          <w:lang w:val="de-DE"/>
        </w:rPr>
        <w:t xml:space="preserve"> aufgenommen. Danach ist es ab </w:t>
      </w:r>
      <w:r w:rsidRPr="00823DB8">
        <w:rPr>
          <w:sz w:val="20"/>
          <w:szCs w:val="20"/>
          <w:lang w:val="de-DE"/>
        </w:rPr>
        <w:t>dem 21.</w:t>
      </w:r>
      <w:r w:rsidR="00514758" w:rsidRPr="00823DB8">
        <w:rPr>
          <w:sz w:val="20"/>
          <w:szCs w:val="20"/>
          <w:lang w:val="de-DE"/>
        </w:rPr>
        <w:t>01.</w:t>
      </w:r>
      <w:r w:rsidRPr="00823DB8">
        <w:rPr>
          <w:sz w:val="20"/>
          <w:szCs w:val="20"/>
          <w:lang w:val="de-DE"/>
        </w:rPr>
        <w:t xml:space="preserve">2026 verboten, Erdölerzeugnisse des KN-Codes 2710 </w:t>
      </w:r>
      <w:r w:rsidR="00514758" w:rsidRPr="00823DB8">
        <w:rPr>
          <w:sz w:val="20"/>
          <w:szCs w:val="20"/>
          <w:lang w:val="de-DE"/>
        </w:rPr>
        <w:t>(diverse Öle und Ölzubereitungen, z.B. auch Schmieröle, Motorenöle, Kraftstoffe)</w:t>
      </w:r>
      <w:r w:rsidR="00514758" w:rsidRPr="00823DB8">
        <w:rPr>
          <w:sz w:val="20"/>
          <w:szCs w:val="20"/>
          <w:lang w:val="de-DE"/>
        </w:rPr>
        <w:t xml:space="preserve"> </w:t>
      </w:r>
      <w:r w:rsidRPr="00823DB8">
        <w:rPr>
          <w:sz w:val="20"/>
          <w:szCs w:val="20"/>
          <w:lang w:val="de-DE"/>
        </w:rPr>
        <w:t>unmittelbar oder mittelbar zu kaufen, in die Union einzuführen oder zu verbringen, wenn sie in einem Drittland aus Rohöl des KN-Codes 2709 00 mit Ursprung in Russland gewonnen wurden.</w:t>
      </w:r>
      <w:r w:rsidR="00514758" w:rsidRPr="00823DB8">
        <w:rPr>
          <w:sz w:val="20"/>
          <w:szCs w:val="20"/>
          <w:lang w:val="de-DE"/>
        </w:rPr>
        <w:t xml:space="preserve"> Ergänzend gilt </w:t>
      </w:r>
      <w:r w:rsidR="00823DB8" w:rsidRPr="00823DB8">
        <w:rPr>
          <w:sz w:val="20"/>
          <w:szCs w:val="20"/>
          <w:lang w:val="de-DE"/>
        </w:rPr>
        <w:t xml:space="preserve">das übliche Verbot </w:t>
      </w:r>
      <w:r w:rsidR="00823DB8" w:rsidRPr="00823DB8">
        <w:rPr>
          <w:sz w:val="20"/>
          <w:szCs w:val="20"/>
          <w:lang w:val="de-DE"/>
        </w:rPr>
        <w:t>der Erbringung von technischer Hilfe, Vermittlungsdiensten, Finanzmitteln oder Finanzhilfen sowie Versicherungen und Rückversicherungen im Zusammenhang mit dem Einfuhrverbot</w:t>
      </w:r>
      <w:r w:rsidR="00823DB8" w:rsidRPr="00823DB8">
        <w:rPr>
          <w:sz w:val="20"/>
          <w:szCs w:val="20"/>
          <w:lang w:val="de-DE"/>
        </w:rPr>
        <w:t>. D</w:t>
      </w:r>
      <w:r w:rsidRPr="00823DB8">
        <w:rPr>
          <w:sz w:val="20"/>
          <w:szCs w:val="20"/>
          <w:lang w:val="de-DE"/>
        </w:rPr>
        <w:t xml:space="preserve">ie Einführer </w:t>
      </w:r>
      <w:r w:rsidR="00823DB8" w:rsidRPr="00823DB8">
        <w:rPr>
          <w:sz w:val="20"/>
          <w:szCs w:val="20"/>
          <w:lang w:val="de-DE"/>
        </w:rPr>
        <w:t xml:space="preserve">müssen zudem </w:t>
      </w:r>
      <w:r w:rsidRPr="00823DB8">
        <w:rPr>
          <w:sz w:val="20"/>
          <w:szCs w:val="20"/>
          <w:lang w:val="de-DE"/>
        </w:rPr>
        <w:t xml:space="preserve">zum Zeitpunkt der Einfuhr einen Nachweis über das Ursprungsland des Rohöls, das für die Raffination des Erzeugnisses in einem Drittland verwendet wurde, vorlegen, es sei denn, das Erzeugnis wird aus einem in Anhang LI aufgeführten Partnerland </w:t>
      </w:r>
      <w:r w:rsidR="00823DB8" w:rsidRPr="00823DB8">
        <w:rPr>
          <w:sz w:val="20"/>
          <w:szCs w:val="20"/>
          <w:lang w:val="de-DE"/>
        </w:rPr>
        <w:t>(Kanada, Norwegen, UK, USA, Schweiz)</w:t>
      </w:r>
      <w:r w:rsidR="00823DB8" w:rsidRPr="00823DB8">
        <w:rPr>
          <w:sz w:val="20"/>
          <w:szCs w:val="20"/>
          <w:lang w:val="de-DE"/>
        </w:rPr>
        <w:t xml:space="preserve"> </w:t>
      </w:r>
      <w:r w:rsidRPr="00823DB8">
        <w:rPr>
          <w:sz w:val="20"/>
          <w:szCs w:val="20"/>
          <w:lang w:val="de-DE"/>
        </w:rPr>
        <w:t>eingeführt.</w:t>
      </w:r>
    </w:p>
    <w:p w14:paraId="222B918B" w14:textId="77777777" w:rsidR="00F02994" w:rsidRDefault="00F02994" w:rsidP="00F02994">
      <w:pPr>
        <w:jc w:val="left"/>
        <w:rPr>
          <w:sz w:val="20"/>
          <w:szCs w:val="20"/>
          <w:lang w:val="de-DE"/>
        </w:rPr>
      </w:pPr>
    </w:p>
    <w:p w14:paraId="5D9305F9" w14:textId="1F2A9D88" w:rsidR="00F02994" w:rsidRPr="002416FF" w:rsidRDefault="00F02994" w:rsidP="00F02994">
      <w:pPr>
        <w:jc w:val="left"/>
        <w:rPr>
          <w:b/>
          <w:bCs/>
          <w:i/>
          <w:iCs/>
          <w:color w:val="C00000"/>
          <w:sz w:val="20"/>
          <w:szCs w:val="20"/>
          <w:lang w:val="de-DE"/>
        </w:rPr>
      </w:pPr>
      <w:r>
        <w:rPr>
          <w:b/>
          <w:bCs/>
          <w:i/>
          <w:iCs/>
          <w:color w:val="C00000"/>
          <w:sz w:val="20"/>
          <w:szCs w:val="20"/>
          <w:lang w:val="de-DE"/>
        </w:rPr>
        <w:t>Rüstungsgüter</w:t>
      </w:r>
    </w:p>
    <w:p w14:paraId="5DA9FE70" w14:textId="77777777" w:rsidR="00F02994" w:rsidRDefault="00F02994" w:rsidP="004F26D8">
      <w:pPr>
        <w:jc w:val="left"/>
        <w:rPr>
          <w:sz w:val="20"/>
          <w:szCs w:val="20"/>
          <w:lang w:val="de-DE"/>
        </w:rPr>
      </w:pPr>
    </w:p>
    <w:p w14:paraId="488E4802" w14:textId="09958C5D" w:rsidR="00D716B6" w:rsidRDefault="00D716B6" w:rsidP="004F26D8">
      <w:pPr>
        <w:jc w:val="left"/>
        <w:rPr>
          <w:sz w:val="20"/>
          <w:szCs w:val="20"/>
          <w:lang w:val="de-DE"/>
        </w:rPr>
      </w:pPr>
      <w:r w:rsidRPr="00FB3D78">
        <w:rPr>
          <w:sz w:val="20"/>
          <w:szCs w:val="20"/>
          <w:lang w:val="de-DE"/>
        </w:rPr>
        <w:t xml:space="preserve">Eine Neuerung hat auch Art. 4 </w:t>
      </w:r>
      <w:r w:rsidR="00514758">
        <w:rPr>
          <w:sz w:val="20"/>
          <w:szCs w:val="20"/>
          <w:lang w:val="de-DE"/>
        </w:rPr>
        <w:t xml:space="preserve">der </w:t>
      </w:r>
      <w:r w:rsidR="00514758">
        <w:rPr>
          <w:sz w:val="20"/>
          <w:szCs w:val="20"/>
          <w:lang w:val="de-DE"/>
        </w:rPr>
        <w:t xml:space="preserve">VO (EU) Nr. 833/2014 </w:t>
      </w:r>
      <w:r w:rsidR="00440E65" w:rsidRPr="00FB3D78">
        <w:rPr>
          <w:sz w:val="20"/>
          <w:szCs w:val="20"/>
          <w:lang w:val="de-DE"/>
        </w:rPr>
        <w:t xml:space="preserve">erfahren, der bislang „nur“ </w:t>
      </w:r>
      <w:r w:rsidR="00FB3D78">
        <w:rPr>
          <w:sz w:val="20"/>
          <w:szCs w:val="20"/>
          <w:lang w:val="de-DE"/>
        </w:rPr>
        <w:t xml:space="preserve">ein </w:t>
      </w:r>
      <w:r w:rsidR="00FB3D78" w:rsidRPr="00FB3D78">
        <w:rPr>
          <w:sz w:val="20"/>
          <w:szCs w:val="20"/>
          <w:lang w:val="de-DE"/>
        </w:rPr>
        <w:t xml:space="preserve">Verbot der Erbringung von technischer Hilfe, Vermittlungsdiensten, Finanzmitteln oder Finanzhilfen im Zusammenhang mit den in der </w:t>
      </w:r>
      <w:r w:rsidR="00FB3D78" w:rsidRPr="00D82FB7">
        <w:rPr>
          <w:sz w:val="20"/>
          <w:szCs w:val="20"/>
          <w:u w:val="single"/>
          <w:lang w:val="de-DE"/>
        </w:rPr>
        <w:t>Gemeinsamen Militärgüterliste</w:t>
      </w:r>
      <w:r w:rsidR="00FB3D78" w:rsidRPr="00FB3D78">
        <w:rPr>
          <w:sz w:val="20"/>
          <w:szCs w:val="20"/>
          <w:lang w:val="de-DE"/>
        </w:rPr>
        <w:t xml:space="preserve"> aufgeführten Gütern und Technologien</w:t>
      </w:r>
      <w:r w:rsidR="00D82FB7">
        <w:rPr>
          <w:sz w:val="20"/>
          <w:szCs w:val="20"/>
          <w:lang w:val="de-DE"/>
        </w:rPr>
        <w:t xml:space="preserve"> vorsah, während das eigentliche </w:t>
      </w:r>
      <w:r w:rsidR="00D82FB7" w:rsidRPr="00D82FB7">
        <w:rPr>
          <w:sz w:val="20"/>
          <w:szCs w:val="20"/>
          <w:lang w:val="de-DE"/>
        </w:rPr>
        <w:t xml:space="preserve">Ausfuhrverbot in Bezug auf Rüstungsgüter </w:t>
      </w:r>
      <w:r w:rsidR="00D82FB7">
        <w:rPr>
          <w:sz w:val="20"/>
          <w:szCs w:val="20"/>
          <w:lang w:val="de-DE"/>
        </w:rPr>
        <w:t xml:space="preserve">auf nationaler Ebene </w:t>
      </w:r>
      <w:r w:rsidR="00D82FB7" w:rsidRPr="00D82FB7">
        <w:rPr>
          <w:sz w:val="20"/>
          <w:szCs w:val="20"/>
          <w:lang w:val="de-DE"/>
        </w:rPr>
        <w:t xml:space="preserve">in § 74 </w:t>
      </w:r>
      <w:r w:rsidR="00D82FB7">
        <w:rPr>
          <w:sz w:val="20"/>
          <w:szCs w:val="20"/>
          <w:lang w:val="de-DE"/>
        </w:rPr>
        <w:t>AWV geregelt ist, ebenso wie sich das</w:t>
      </w:r>
      <w:r w:rsidR="00D82FB7" w:rsidRPr="00D82FB7">
        <w:rPr>
          <w:sz w:val="20"/>
          <w:szCs w:val="20"/>
          <w:lang w:val="de-DE"/>
        </w:rPr>
        <w:t xml:space="preserve"> </w:t>
      </w:r>
      <w:r w:rsidR="00F02994">
        <w:rPr>
          <w:sz w:val="20"/>
          <w:szCs w:val="20"/>
          <w:lang w:val="de-DE"/>
        </w:rPr>
        <w:t xml:space="preserve">entsprechende </w:t>
      </w:r>
      <w:r w:rsidR="00D82FB7" w:rsidRPr="00D82FB7">
        <w:rPr>
          <w:sz w:val="20"/>
          <w:szCs w:val="20"/>
          <w:lang w:val="de-DE"/>
        </w:rPr>
        <w:t>Einfuhrverbot in § 77 AWV</w:t>
      </w:r>
      <w:r w:rsidR="00D82FB7">
        <w:rPr>
          <w:sz w:val="20"/>
          <w:szCs w:val="20"/>
          <w:lang w:val="de-DE"/>
        </w:rPr>
        <w:t xml:space="preserve"> findet. </w:t>
      </w:r>
      <w:r w:rsidR="00D82FB7" w:rsidRPr="00D82FB7">
        <w:rPr>
          <w:sz w:val="20"/>
          <w:szCs w:val="20"/>
          <w:lang w:val="de-DE"/>
        </w:rPr>
        <w:t xml:space="preserve">Art. 4 wurde </w:t>
      </w:r>
      <w:r w:rsidR="00D82FB7">
        <w:rPr>
          <w:sz w:val="20"/>
          <w:szCs w:val="20"/>
          <w:lang w:val="de-DE"/>
        </w:rPr>
        <w:t xml:space="preserve">nun </w:t>
      </w:r>
      <w:r w:rsidR="00D82FB7" w:rsidRPr="00D82FB7">
        <w:rPr>
          <w:sz w:val="20"/>
          <w:szCs w:val="20"/>
          <w:lang w:val="de-DE"/>
        </w:rPr>
        <w:t xml:space="preserve">neu gefasst und enthält in Abs. 1 lit. a) nun ebenfalls ein Ausfuhrverbot (Verkauf, Lieferung, Verbringung, Ausfuhr) </w:t>
      </w:r>
      <w:r w:rsidR="00F02994">
        <w:rPr>
          <w:sz w:val="20"/>
          <w:szCs w:val="20"/>
          <w:lang w:val="de-DE"/>
        </w:rPr>
        <w:t>sowie</w:t>
      </w:r>
      <w:r w:rsidR="00D82FB7" w:rsidRPr="00D82FB7">
        <w:rPr>
          <w:sz w:val="20"/>
          <w:szCs w:val="20"/>
          <w:lang w:val="de-DE"/>
        </w:rPr>
        <w:t xml:space="preserve"> in lit. c) ein Einfuhrverbot (Kauf, Einfuhr, Beförderung) in Bezug auf Güter der Gemeinsamen Militärgüterliste.</w:t>
      </w:r>
    </w:p>
    <w:p w14:paraId="6B8B1CFE" w14:textId="77777777" w:rsidR="005879A9" w:rsidRDefault="005879A9" w:rsidP="00E82C13">
      <w:pPr>
        <w:jc w:val="left"/>
        <w:rPr>
          <w:sz w:val="20"/>
          <w:szCs w:val="20"/>
          <w:lang w:val="de-DE"/>
        </w:rPr>
      </w:pPr>
    </w:p>
    <w:p w14:paraId="33FE81FD" w14:textId="77777777" w:rsidR="00D850A4" w:rsidRPr="001E369F" w:rsidRDefault="00D850A4" w:rsidP="00D850A4">
      <w:pPr>
        <w:jc w:val="left"/>
        <w:rPr>
          <w:b/>
          <w:bCs/>
          <w:sz w:val="20"/>
          <w:szCs w:val="20"/>
          <w:lang w:val="de-DE"/>
        </w:rPr>
      </w:pPr>
      <w:r w:rsidRPr="003C0824">
        <w:rPr>
          <w:b/>
          <w:bCs/>
          <w:sz w:val="20"/>
          <w:szCs w:val="20"/>
          <w:highlight w:val="lightGray"/>
          <w:u w:val="single"/>
          <w:lang w:val="de-DE"/>
        </w:rPr>
        <w:t>Russland</w:t>
      </w:r>
      <w:r w:rsidRPr="003C0824">
        <w:rPr>
          <w:b/>
          <w:bCs/>
          <w:sz w:val="20"/>
          <w:szCs w:val="20"/>
          <w:highlight w:val="lightGray"/>
          <w:lang w:val="de-DE"/>
        </w:rPr>
        <w:t>: Verordnung (EU) Nr. 269/2014</w:t>
      </w:r>
    </w:p>
    <w:p w14:paraId="45CD9CA1" w14:textId="77777777" w:rsidR="00D850A4" w:rsidRDefault="00D850A4" w:rsidP="00D850A4">
      <w:pPr>
        <w:jc w:val="left"/>
        <w:rPr>
          <w:sz w:val="20"/>
          <w:szCs w:val="20"/>
          <w:lang w:val="de-DE"/>
        </w:rPr>
      </w:pPr>
    </w:p>
    <w:p w14:paraId="7BFE9E88" w14:textId="77777777" w:rsidR="00D850A4" w:rsidRDefault="00D850A4" w:rsidP="00D850A4">
      <w:pPr>
        <w:jc w:val="left"/>
        <w:rPr>
          <w:sz w:val="20"/>
          <w:szCs w:val="20"/>
          <w:lang w:val="de-DE"/>
        </w:rPr>
      </w:pPr>
      <w:r>
        <w:rPr>
          <w:sz w:val="20"/>
          <w:szCs w:val="20"/>
          <w:lang w:val="de-DE"/>
        </w:rPr>
        <w:t xml:space="preserve">Im Bereich der personenbezogenen Sanktionen wurde mit der </w:t>
      </w:r>
      <w:r w:rsidRPr="000A564A">
        <w:rPr>
          <w:b/>
          <w:bCs/>
          <w:sz w:val="20"/>
          <w:szCs w:val="20"/>
          <w:lang w:val="de-DE"/>
        </w:rPr>
        <w:t>Durchführungsverordnung (EU) 2025/1476 vom 18.07.2025</w:t>
      </w:r>
      <w:r w:rsidRPr="00F33703">
        <w:rPr>
          <w:sz w:val="20"/>
          <w:szCs w:val="20"/>
          <w:lang w:val="de-DE"/>
        </w:rPr>
        <w:t xml:space="preserve"> </w:t>
      </w:r>
      <w:r>
        <w:rPr>
          <w:sz w:val="20"/>
          <w:szCs w:val="20"/>
          <w:lang w:val="de-DE"/>
        </w:rPr>
        <w:t xml:space="preserve">der Anhang I zu der VO </w:t>
      </w:r>
      <w:r w:rsidRPr="00F33703">
        <w:rPr>
          <w:sz w:val="20"/>
          <w:szCs w:val="20"/>
          <w:lang w:val="de-DE"/>
        </w:rPr>
        <w:t>(EU) Nr. 269/2014</w:t>
      </w:r>
      <w:r>
        <w:rPr>
          <w:sz w:val="20"/>
          <w:szCs w:val="20"/>
          <w:lang w:val="de-DE"/>
        </w:rPr>
        <w:t xml:space="preserve"> um 14 natürliche Personen und 41 juristische Personen, Organisationen und Einrichtungen erweitert. Darunter befinden sich (nicht zum ersten Mal) auch mehrere Unternehmen aus China bzw. Hongkong sowie aus den Vereinigten Arabischen </w:t>
      </w:r>
      <w:r>
        <w:rPr>
          <w:sz w:val="20"/>
          <w:szCs w:val="20"/>
          <w:lang w:val="de-DE"/>
        </w:rPr>
        <w:lastRenderedPageBreak/>
        <w:t xml:space="preserve">Emiraten, aber z.B. auch aus Indien und Singapur. Da all diesen sanktionierten natürlichen und juristischen Personen, Organisationen und Einrichtungen gemäß Art. 2 Abs. 2 der VO </w:t>
      </w:r>
      <w:r w:rsidRPr="00F33703">
        <w:rPr>
          <w:sz w:val="20"/>
          <w:szCs w:val="20"/>
          <w:lang w:val="de-DE"/>
        </w:rPr>
        <w:t>(EU) Nr. 269/2014</w:t>
      </w:r>
      <w:r>
        <w:rPr>
          <w:sz w:val="20"/>
          <w:szCs w:val="20"/>
          <w:lang w:val="de-DE"/>
        </w:rPr>
        <w:t xml:space="preserve"> weder unmittelbar noch mittelbar Gelder oder wirtschaftliche Ressourcen (insbesondere Handelsgüter) zur Verfügung gestellt werden dürfen, beschränken sich die Sanktionen somit keineswegs nur auf Geschäftsbeziehungen mit einem wie auch immer gearteten Russlandbezug. Ein vorheriges „Screening“ des potentiellen Geschäftspartners ist in jedem Falle erforderlich.</w:t>
      </w:r>
    </w:p>
    <w:p w14:paraId="7214C3A2" w14:textId="77777777" w:rsidR="00D850A4" w:rsidRDefault="00D850A4" w:rsidP="00D850A4">
      <w:pPr>
        <w:jc w:val="left"/>
        <w:rPr>
          <w:sz w:val="20"/>
          <w:szCs w:val="20"/>
          <w:lang w:val="de-DE"/>
        </w:rPr>
      </w:pPr>
    </w:p>
    <w:p w14:paraId="3E17E509" w14:textId="47BF78F3" w:rsidR="001F5B9B" w:rsidRPr="001E369F" w:rsidRDefault="001F5B9B" w:rsidP="001F5B9B">
      <w:pPr>
        <w:jc w:val="left"/>
        <w:rPr>
          <w:b/>
          <w:bCs/>
          <w:sz w:val="20"/>
          <w:szCs w:val="20"/>
          <w:lang w:val="de-DE"/>
        </w:rPr>
      </w:pPr>
      <w:r w:rsidRPr="003C0824">
        <w:rPr>
          <w:b/>
          <w:bCs/>
          <w:sz w:val="20"/>
          <w:szCs w:val="20"/>
          <w:highlight w:val="lightGray"/>
          <w:u w:val="single"/>
          <w:lang w:val="de-DE"/>
        </w:rPr>
        <w:t>Belarus</w:t>
      </w:r>
      <w:r w:rsidRPr="003C0824">
        <w:rPr>
          <w:b/>
          <w:bCs/>
          <w:sz w:val="20"/>
          <w:szCs w:val="20"/>
          <w:highlight w:val="lightGray"/>
          <w:lang w:val="de-DE"/>
        </w:rPr>
        <w:t>: Verordnung (EG) Nr. 765/2006 (Teil I)</w:t>
      </w:r>
    </w:p>
    <w:p w14:paraId="35BA50EE" w14:textId="77777777" w:rsidR="001F5B9B" w:rsidRDefault="001F5B9B" w:rsidP="001F5B9B">
      <w:pPr>
        <w:jc w:val="left"/>
        <w:rPr>
          <w:sz w:val="20"/>
          <w:szCs w:val="20"/>
          <w:lang w:val="de-DE"/>
        </w:rPr>
      </w:pPr>
    </w:p>
    <w:p w14:paraId="3D344AE1" w14:textId="71D5BA83" w:rsidR="001F5B9B" w:rsidRDefault="001F5B9B" w:rsidP="001F5B9B">
      <w:pPr>
        <w:jc w:val="left"/>
        <w:rPr>
          <w:sz w:val="20"/>
          <w:szCs w:val="20"/>
          <w:lang w:val="de-DE"/>
        </w:rPr>
      </w:pPr>
      <w:r>
        <w:rPr>
          <w:sz w:val="20"/>
          <w:szCs w:val="20"/>
          <w:lang w:val="de-DE"/>
        </w:rPr>
        <w:t xml:space="preserve">Änderungen </w:t>
      </w:r>
      <w:r>
        <w:rPr>
          <w:sz w:val="20"/>
          <w:szCs w:val="20"/>
          <w:lang w:val="de-DE"/>
        </w:rPr>
        <w:t xml:space="preserve">in Bezug auf die güterbezogenen Maßnahmen gemäß </w:t>
      </w:r>
      <w:r>
        <w:rPr>
          <w:sz w:val="20"/>
          <w:szCs w:val="20"/>
          <w:lang w:val="de-DE"/>
        </w:rPr>
        <w:t>der VO (E</w:t>
      </w:r>
      <w:r>
        <w:rPr>
          <w:sz w:val="20"/>
          <w:szCs w:val="20"/>
          <w:lang w:val="de-DE"/>
        </w:rPr>
        <w:t>G</w:t>
      </w:r>
      <w:r>
        <w:rPr>
          <w:sz w:val="20"/>
          <w:szCs w:val="20"/>
          <w:lang w:val="de-DE"/>
        </w:rPr>
        <w:t xml:space="preserve">) Nr. </w:t>
      </w:r>
      <w:r>
        <w:rPr>
          <w:sz w:val="20"/>
          <w:szCs w:val="20"/>
          <w:lang w:val="de-DE"/>
        </w:rPr>
        <w:t xml:space="preserve">765/2006 </w:t>
      </w:r>
      <w:r>
        <w:rPr>
          <w:sz w:val="20"/>
          <w:szCs w:val="20"/>
          <w:lang w:val="de-DE"/>
        </w:rPr>
        <w:t xml:space="preserve">wurden mit der </w:t>
      </w:r>
      <w:r w:rsidRPr="00F766DD">
        <w:rPr>
          <w:b/>
          <w:bCs/>
          <w:sz w:val="20"/>
          <w:szCs w:val="20"/>
          <w:lang w:val="de-DE"/>
        </w:rPr>
        <w:t>Verordnung (EU) 2025/14</w:t>
      </w:r>
      <w:r>
        <w:rPr>
          <w:b/>
          <w:bCs/>
          <w:sz w:val="20"/>
          <w:szCs w:val="20"/>
          <w:lang w:val="de-DE"/>
        </w:rPr>
        <w:t>72</w:t>
      </w:r>
      <w:r w:rsidRPr="00F766DD">
        <w:rPr>
          <w:b/>
          <w:bCs/>
          <w:sz w:val="20"/>
          <w:szCs w:val="20"/>
          <w:lang w:val="de-DE"/>
        </w:rPr>
        <w:t xml:space="preserve"> vom 18. Juli 2025</w:t>
      </w:r>
      <w:r w:rsidRPr="00F766DD">
        <w:rPr>
          <w:sz w:val="20"/>
          <w:szCs w:val="20"/>
          <w:lang w:val="de-DE"/>
        </w:rPr>
        <w:t xml:space="preserve"> </w:t>
      </w:r>
      <w:r>
        <w:rPr>
          <w:sz w:val="20"/>
          <w:szCs w:val="20"/>
          <w:lang w:val="de-DE"/>
        </w:rPr>
        <w:t>vorgenommen</w:t>
      </w:r>
      <w:r w:rsidR="00524EDC">
        <w:rPr>
          <w:sz w:val="20"/>
          <w:szCs w:val="20"/>
          <w:lang w:val="de-DE"/>
        </w:rPr>
        <w:t>:</w:t>
      </w:r>
    </w:p>
    <w:p w14:paraId="64DD8170" w14:textId="77777777" w:rsidR="00524EDC" w:rsidRDefault="00524EDC" w:rsidP="001F5B9B">
      <w:pPr>
        <w:jc w:val="left"/>
        <w:rPr>
          <w:sz w:val="20"/>
          <w:szCs w:val="20"/>
          <w:lang w:val="de-DE"/>
        </w:rPr>
      </w:pPr>
    </w:p>
    <w:p w14:paraId="54D3074F" w14:textId="3C2BB439" w:rsidR="00524EDC" w:rsidRDefault="00723FEC" w:rsidP="001F5B9B">
      <w:pPr>
        <w:jc w:val="left"/>
        <w:rPr>
          <w:sz w:val="20"/>
          <w:szCs w:val="20"/>
          <w:lang w:val="de-DE"/>
        </w:rPr>
      </w:pPr>
      <w:r>
        <w:rPr>
          <w:sz w:val="20"/>
          <w:szCs w:val="20"/>
          <w:lang w:val="de-DE"/>
        </w:rPr>
        <w:t xml:space="preserve">Analog zu den verschärften Maßnahmen gegen Russland wurde </w:t>
      </w:r>
      <w:r w:rsidR="008040D5">
        <w:rPr>
          <w:sz w:val="20"/>
          <w:szCs w:val="20"/>
          <w:lang w:val="de-DE"/>
        </w:rPr>
        <w:t xml:space="preserve">in Bezug auf Güter und Technologien der </w:t>
      </w:r>
      <w:r w:rsidR="008040D5" w:rsidRPr="00F10770">
        <w:rPr>
          <w:sz w:val="20"/>
          <w:szCs w:val="20"/>
          <w:u w:val="single"/>
          <w:lang w:val="de-DE"/>
        </w:rPr>
        <w:t>Gemeinsamen Militärgüterliste</w:t>
      </w:r>
      <w:r w:rsidR="008040D5">
        <w:rPr>
          <w:sz w:val="20"/>
          <w:szCs w:val="20"/>
          <w:lang w:val="de-DE"/>
        </w:rPr>
        <w:t xml:space="preserve"> </w:t>
      </w:r>
      <w:r>
        <w:rPr>
          <w:sz w:val="20"/>
          <w:szCs w:val="20"/>
          <w:lang w:val="de-DE"/>
        </w:rPr>
        <w:t xml:space="preserve">mit dem </w:t>
      </w:r>
      <w:r w:rsidR="008040D5">
        <w:rPr>
          <w:sz w:val="20"/>
          <w:szCs w:val="20"/>
          <w:lang w:val="de-DE"/>
        </w:rPr>
        <w:t xml:space="preserve">in die </w:t>
      </w:r>
      <w:r w:rsidR="008040D5">
        <w:rPr>
          <w:sz w:val="20"/>
          <w:szCs w:val="20"/>
          <w:lang w:val="de-DE"/>
        </w:rPr>
        <w:t xml:space="preserve">VO (EG) Nr. 765/2006 </w:t>
      </w:r>
      <w:r w:rsidR="00524EDC">
        <w:rPr>
          <w:sz w:val="20"/>
          <w:szCs w:val="20"/>
          <w:lang w:val="de-DE"/>
        </w:rPr>
        <w:t xml:space="preserve">neu eingefügten Art. 1aa </w:t>
      </w:r>
      <w:r w:rsidR="008040D5">
        <w:rPr>
          <w:sz w:val="20"/>
          <w:szCs w:val="20"/>
          <w:lang w:val="de-DE"/>
        </w:rPr>
        <w:t xml:space="preserve">ein Importverbot und mit dem neuen </w:t>
      </w:r>
      <w:r w:rsidR="00524EDC">
        <w:rPr>
          <w:sz w:val="20"/>
          <w:szCs w:val="20"/>
          <w:lang w:val="de-DE"/>
        </w:rPr>
        <w:t xml:space="preserve">Art. 1ab </w:t>
      </w:r>
      <w:r w:rsidR="008040D5">
        <w:rPr>
          <w:sz w:val="20"/>
          <w:szCs w:val="20"/>
          <w:lang w:val="de-DE"/>
        </w:rPr>
        <w:t xml:space="preserve">ein Exportverbot verhängt. </w:t>
      </w:r>
      <w:r w:rsidR="00E62503">
        <w:rPr>
          <w:sz w:val="20"/>
          <w:szCs w:val="20"/>
          <w:lang w:val="de-DE"/>
        </w:rPr>
        <w:t xml:space="preserve">Die nationalen Aus- und Einfuhrverbote in Bezug auf Rüstungsgüter gemäß §§ 74, 77 AWV bestehen weiterhin. </w:t>
      </w:r>
    </w:p>
    <w:p w14:paraId="1E1831E6" w14:textId="77777777" w:rsidR="00F10770" w:rsidRDefault="00F10770" w:rsidP="001F5B9B">
      <w:pPr>
        <w:jc w:val="left"/>
        <w:rPr>
          <w:sz w:val="20"/>
          <w:szCs w:val="20"/>
          <w:lang w:val="de-DE"/>
        </w:rPr>
      </w:pPr>
    </w:p>
    <w:p w14:paraId="081458B4" w14:textId="74D6CA3F" w:rsidR="00F10770" w:rsidRDefault="00F10770" w:rsidP="001F5B9B">
      <w:pPr>
        <w:jc w:val="left"/>
        <w:rPr>
          <w:sz w:val="20"/>
          <w:szCs w:val="20"/>
          <w:lang w:val="de-DE"/>
        </w:rPr>
      </w:pPr>
      <w:r>
        <w:rPr>
          <w:sz w:val="20"/>
          <w:szCs w:val="20"/>
          <w:lang w:val="de-DE"/>
        </w:rPr>
        <w:t xml:space="preserve">Der </w:t>
      </w:r>
      <w:r w:rsidRPr="00F10770">
        <w:rPr>
          <w:sz w:val="20"/>
          <w:szCs w:val="20"/>
          <w:u w:val="single"/>
          <w:lang w:val="de-DE"/>
        </w:rPr>
        <w:t>Anhang XVIII</w:t>
      </w:r>
      <w:r>
        <w:rPr>
          <w:sz w:val="20"/>
          <w:szCs w:val="20"/>
          <w:lang w:val="de-DE"/>
        </w:rPr>
        <w:t xml:space="preserve"> wurde um diverse Güter erweitert, deren Verkauf, Lieferung, Verbringung oder Ausfuhr nach Belarus oder zur Verwendung in Belarus gemäß Art. 1bb der </w:t>
      </w:r>
      <w:r>
        <w:rPr>
          <w:sz w:val="20"/>
          <w:szCs w:val="20"/>
          <w:lang w:val="de-DE"/>
        </w:rPr>
        <w:t>VO (EG) Nr. 765/2006</w:t>
      </w:r>
      <w:r>
        <w:rPr>
          <w:sz w:val="20"/>
          <w:szCs w:val="20"/>
          <w:lang w:val="de-DE"/>
        </w:rPr>
        <w:t xml:space="preserve"> nunmehr verboten ist. </w:t>
      </w:r>
      <w:r w:rsidR="001B3379">
        <w:rPr>
          <w:sz w:val="20"/>
          <w:szCs w:val="20"/>
          <w:lang w:val="de-DE"/>
        </w:rPr>
        <w:t xml:space="preserve">Altvertragsausnahmen finden sich in Art. 1bb Abs. 3a und 3b und ein überarbeiteter Genehmigungstatbestand </w:t>
      </w:r>
      <w:r w:rsidR="00AF0899">
        <w:rPr>
          <w:sz w:val="20"/>
          <w:szCs w:val="20"/>
          <w:lang w:val="de-DE"/>
        </w:rPr>
        <w:t xml:space="preserve">(im Falle </w:t>
      </w:r>
      <w:r w:rsidR="00AF0899" w:rsidRPr="00AF0899">
        <w:rPr>
          <w:sz w:val="20"/>
          <w:szCs w:val="20"/>
          <w:lang w:val="de-DE"/>
        </w:rPr>
        <w:t>persönliche</w:t>
      </w:r>
      <w:r w:rsidR="00AF0899">
        <w:rPr>
          <w:sz w:val="20"/>
          <w:szCs w:val="20"/>
          <w:lang w:val="de-DE"/>
        </w:rPr>
        <w:t>r</w:t>
      </w:r>
      <w:r w:rsidR="00AF0899" w:rsidRPr="00AF0899">
        <w:rPr>
          <w:sz w:val="20"/>
          <w:szCs w:val="20"/>
          <w:lang w:val="de-DE"/>
        </w:rPr>
        <w:t xml:space="preserve"> Verwendung </w:t>
      </w:r>
      <w:r w:rsidR="00AF0899">
        <w:rPr>
          <w:sz w:val="20"/>
          <w:szCs w:val="20"/>
          <w:lang w:val="de-DE"/>
        </w:rPr>
        <w:t xml:space="preserve">bestimmter Güter </w:t>
      </w:r>
      <w:r w:rsidR="00AF0899" w:rsidRPr="00AF0899">
        <w:rPr>
          <w:sz w:val="20"/>
          <w:szCs w:val="20"/>
          <w:lang w:val="de-DE"/>
        </w:rPr>
        <w:t>im Haushalt durch natürliche Personen in Belarus</w:t>
      </w:r>
      <w:r w:rsidR="00AF0899">
        <w:rPr>
          <w:sz w:val="20"/>
          <w:szCs w:val="20"/>
          <w:lang w:val="de-DE"/>
        </w:rPr>
        <w:t>)</w:t>
      </w:r>
      <w:r w:rsidR="00AF0899" w:rsidRPr="00AF0899">
        <w:rPr>
          <w:sz w:val="20"/>
          <w:szCs w:val="20"/>
          <w:lang w:val="de-DE"/>
        </w:rPr>
        <w:t xml:space="preserve"> </w:t>
      </w:r>
      <w:r w:rsidR="001B3379">
        <w:rPr>
          <w:sz w:val="20"/>
          <w:szCs w:val="20"/>
          <w:lang w:val="de-DE"/>
        </w:rPr>
        <w:t>in Art. 1bb Abs. 13 der VO.</w:t>
      </w:r>
    </w:p>
    <w:p w14:paraId="4A7F453A" w14:textId="77777777" w:rsidR="00AF0899" w:rsidRDefault="00AF0899" w:rsidP="001F5B9B">
      <w:pPr>
        <w:jc w:val="left"/>
        <w:rPr>
          <w:sz w:val="20"/>
          <w:szCs w:val="20"/>
          <w:lang w:val="de-DE"/>
        </w:rPr>
      </w:pPr>
    </w:p>
    <w:p w14:paraId="311B06BE" w14:textId="19DEFE1C" w:rsidR="00CF3223" w:rsidRDefault="00AF0899" w:rsidP="001F5B9B">
      <w:pPr>
        <w:jc w:val="left"/>
        <w:rPr>
          <w:sz w:val="20"/>
          <w:szCs w:val="20"/>
          <w:lang w:val="de-DE"/>
        </w:rPr>
      </w:pPr>
      <w:r>
        <w:rPr>
          <w:sz w:val="20"/>
          <w:szCs w:val="20"/>
          <w:lang w:val="de-DE"/>
        </w:rPr>
        <w:t xml:space="preserve">Auch der </w:t>
      </w:r>
      <w:r w:rsidRPr="00AF0899">
        <w:rPr>
          <w:sz w:val="20"/>
          <w:szCs w:val="20"/>
          <w:u w:val="single"/>
          <w:lang w:val="de-DE"/>
        </w:rPr>
        <w:t>Anhang Va</w:t>
      </w:r>
      <w:r>
        <w:rPr>
          <w:sz w:val="20"/>
          <w:szCs w:val="20"/>
          <w:lang w:val="de-DE"/>
        </w:rPr>
        <w:t xml:space="preserve"> wurde erweitert und wie bei den Russland-Maßnahmen </w:t>
      </w:r>
      <w:r w:rsidR="00CF3223">
        <w:rPr>
          <w:sz w:val="20"/>
          <w:szCs w:val="20"/>
          <w:lang w:val="de-DE"/>
        </w:rPr>
        <w:t xml:space="preserve">mit dem neuen </w:t>
      </w:r>
      <w:r>
        <w:rPr>
          <w:sz w:val="20"/>
          <w:szCs w:val="20"/>
          <w:lang w:val="de-DE"/>
        </w:rPr>
        <w:t xml:space="preserve">Art. 1f </w:t>
      </w:r>
      <w:r w:rsidR="00CF3223">
        <w:rPr>
          <w:sz w:val="20"/>
          <w:szCs w:val="20"/>
          <w:lang w:val="de-DE"/>
        </w:rPr>
        <w:t xml:space="preserve">Abs. 1aa der </w:t>
      </w:r>
      <w:r w:rsidR="00CF3223">
        <w:rPr>
          <w:sz w:val="20"/>
          <w:szCs w:val="20"/>
          <w:lang w:val="de-DE"/>
        </w:rPr>
        <w:t xml:space="preserve">VO (EG) Nr. 765/2006 </w:t>
      </w:r>
      <w:r w:rsidR="00CF3223">
        <w:rPr>
          <w:sz w:val="20"/>
          <w:szCs w:val="20"/>
          <w:lang w:val="de-DE"/>
        </w:rPr>
        <w:t xml:space="preserve">eine </w:t>
      </w:r>
      <w:r w:rsidR="00CF3223" w:rsidRPr="00BE6E43">
        <w:rPr>
          <w:sz w:val="20"/>
          <w:szCs w:val="20"/>
          <w:u w:val="single"/>
          <w:lang w:val="de-DE"/>
        </w:rPr>
        <w:t>Catch-All-Klausel</w:t>
      </w:r>
      <w:r w:rsidR="00CF3223">
        <w:rPr>
          <w:sz w:val="20"/>
          <w:szCs w:val="20"/>
          <w:lang w:val="de-DE"/>
        </w:rPr>
        <w:t xml:space="preserve"> in Gestalt einer Genehmigungspflicht eingeführt für den Fall, dass der Ausführer von der Behörde darüber </w:t>
      </w:r>
      <w:r w:rsidR="00CF3223" w:rsidRPr="005C0B8B">
        <w:rPr>
          <w:sz w:val="20"/>
          <w:szCs w:val="20"/>
          <w:u w:val="single"/>
          <w:lang w:val="de-DE"/>
        </w:rPr>
        <w:t>unterrichtet</w:t>
      </w:r>
      <w:r w:rsidR="00CF3223">
        <w:rPr>
          <w:sz w:val="20"/>
          <w:szCs w:val="20"/>
          <w:lang w:val="de-DE"/>
        </w:rPr>
        <w:t xml:space="preserve"> wurde, dass die </w:t>
      </w:r>
      <w:r w:rsidR="00BE6E43">
        <w:rPr>
          <w:sz w:val="20"/>
          <w:szCs w:val="20"/>
          <w:lang w:val="de-DE"/>
        </w:rPr>
        <w:t xml:space="preserve">für die Ausfuhr in Drittländer vorgesehenen Güter gemäß Anhang Va </w:t>
      </w:r>
      <w:r w:rsidR="00BE6E43" w:rsidRPr="00BE6E43">
        <w:rPr>
          <w:sz w:val="20"/>
          <w:szCs w:val="20"/>
          <w:lang w:val="de-DE"/>
        </w:rPr>
        <w:t>ganz oder teilweise für natürliche oder juristische Personen, Organisationen oder Einrichtungen in Belarus oder zur Verwendung in Belarus bestimmt sein könnten</w:t>
      </w:r>
      <w:r w:rsidR="00BE6E43">
        <w:rPr>
          <w:sz w:val="20"/>
          <w:szCs w:val="20"/>
          <w:lang w:val="de-DE"/>
        </w:rPr>
        <w:t>.</w:t>
      </w:r>
    </w:p>
    <w:p w14:paraId="0304D7D9" w14:textId="77777777" w:rsidR="00BE6E43" w:rsidRDefault="00BE6E43" w:rsidP="001F5B9B">
      <w:pPr>
        <w:jc w:val="left"/>
        <w:rPr>
          <w:sz w:val="20"/>
          <w:szCs w:val="20"/>
          <w:lang w:val="de-DE"/>
        </w:rPr>
      </w:pPr>
    </w:p>
    <w:p w14:paraId="3C70F21E" w14:textId="1ACFBBB5" w:rsidR="000224AF" w:rsidRDefault="000224AF" w:rsidP="000224AF">
      <w:pPr>
        <w:jc w:val="left"/>
        <w:rPr>
          <w:sz w:val="20"/>
          <w:szCs w:val="20"/>
          <w:lang w:val="de-DE"/>
        </w:rPr>
      </w:pPr>
      <w:r w:rsidRPr="000224AF">
        <w:rPr>
          <w:sz w:val="20"/>
          <w:szCs w:val="20"/>
          <w:u w:val="single"/>
          <w:lang w:val="de-DE"/>
        </w:rPr>
        <w:t xml:space="preserve">Anhang </w:t>
      </w:r>
      <w:proofErr w:type="spellStart"/>
      <w:r w:rsidRPr="000224AF">
        <w:rPr>
          <w:sz w:val="20"/>
          <w:szCs w:val="20"/>
          <w:u w:val="single"/>
          <w:lang w:val="de-DE"/>
        </w:rPr>
        <w:t>XIVa</w:t>
      </w:r>
      <w:proofErr w:type="spellEnd"/>
      <w:r>
        <w:rPr>
          <w:sz w:val="20"/>
          <w:szCs w:val="20"/>
          <w:lang w:val="de-DE"/>
        </w:rPr>
        <w:t xml:space="preserve"> enthält eine Auflistung der Güter, deren Durchfuhr durch Belarus gemäß Art. 1s Abs. 1</w:t>
      </w:r>
      <w:r w:rsidR="00BE46CD">
        <w:rPr>
          <w:sz w:val="20"/>
          <w:szCs w:val="20"/>
          <w:lang w:val="de-DE"/>
        </w:rPr>
        <w:t xml:space="preserve">a </w:t>
      </w:r>
      <w:r>
        <w:rPr>
          <w:sz w:val="20"/>
          <w:szCs w:val="20"/>
          <w:lang w:val="de-DE"/>
        </w:rPr>
        <w:t xml:space="preserve">der VO </w:t>
      </w:r>
      <w:r>
        <w:rPr>
          <w:sz w:val="20"/>
          <w:szCs w:val="20"/>
          <w:lang w:val="de-DE"/>
        </w:rPr>
        <w:t>(EG) Nr. 765/2006</w:t>
      </w:r>
      <w:r w:rsidR="00BE46CD">
        <w:rPr>
          <w:sz w:val="20"/>
          <w:szCs w:val="20"/>
          <w:lang w:val="de-DE"/>
        </w:rPr>
        <w:t xml:space="preserve"> verboten ist. In diesen Anhang wurden Güter des KN-Codes 8479 82 neu eingefügt.</w:t>
      </w:r>
      <w:r w:rsidR="00306313">
        <w:rPr>
          <w:sz w:val="20"/>
          <w:szCs w:val="20"/>
          <w:lang w:val="de-DE"/>
        </w:rPr>
        <w:t xml:space="preserve"> Zudem wurde </w:t>
      </w:r>
      <w:r w:rsidR="007F25A7">
        <w:rPr>
          <w:sz w:val="20"/>
          <w:szCs w:val="20"/>
          <w:lang w:val="de-DE"/>
        </w:rPr>
        <w:t xml:space="preserve">der </w:t>
      </w:r>
      <w:r w:rsidR="007F25A7" w:rsidRPr="00306313">
        <w:rPr>
          <w:sz w:val="20"/>
          <w:szCs w:val="20"/>
          <w:u w:val="single"/>
          <w:lang w:val="de-DE"/>
        </w:rPr>
        <w:t>Anhang XIX</w:t>
      </w:r>
      <w:r w:rsidR="007F25A7">
        <w:rPr>
          <w:sz w:val="20"/>
          <w:szCs w:val="20"/>
          <w:lang w:val="de-DE"/>
        </w:rPr>
        <w:t xml:space="preserve">, also </w:t>
      </w:r>
      <w:r w:rsidR="00306313">
        <w:rPr>
          <w:sz w:val="20"/>
          <w:szCs w:val="20"/>
          <w:lang w:val="de-DE"/>
        </w:rPr>
        <w:t xml:space="preserve">die Liste der Güter, deren Durchfuhr durch Belarus nach Art. 1bb Abs. 2 </w:t>
      </w:r>
      <w:r w:rsidR="00306313">
        <w:rPr>
          <w:sz w:val="20"/>
          <w:szCs w:val="20"/>
          <w:lang w:val="de-DE"/>
        </w:rPr>
        <w:t xml:space="preserve">der VO (EG) Nr. 765/2006 </w:t>
      </w:r>
      <w:r w:rsidR="00306313">
        <w:rPr>
          <w:sz w:val="20"/>
          <w:szCs w:val="20"/>
          <w:lang w:val="de-DE"/>
        </w:rPr>
        <w:t>verboten ist, neu gefasst.</w:t>
      </w:r>
    </w:p>
    <w:p w14:paraId="07CADC3E" w14:textId="77777777" w:rsidR="001F5B9B" w:rsidRDefault="001F5B9B" w:rsidP="001F5B9B">
      <w:pPr>
        <w:jc w:val="left"/>
        <w:rPr>
          <w:sz w:val="20"/>
          <w:szCs w:val="20"/>
          <w:lang w:val="de-DE"/>
        </w:rPr>
      </w:pPr>
    </w:p>
    <w:p w14:paraId="45C3D288" w14:textId="66AC614D" w:rsidR="001E369F" w:rsidRPr="001E369F" w:rsidRDefault="001E369F" w:rsidP="00E82C13">
      <w:pPr>
        <w:jc w:val="left"/>
        <w:rPr>
          <w:b/>
          <w:bCs/>
          <w:sz w:val="20"/>
          <w:szCs w:val="20"/>
          <w:lang w:val="de-DE"/>
        </w:rPr>
      </w:pPr>
      <w:r w:rsidRPr="003C0824">
        <w:rPr>
          <w:b/>
          <w:bCs/>
          <w:sz w:val="20"/>
          <w:szCs w:val="20"/>
          <w:highlight w:val="lightGray"/>
          <w:u w:val="single"/>
          <w:lang w:val="de-DE"/>
        </w:rPr>
        <w:t>Belarus</w:t>
      </w:r>
      <w:r w:rsidRPr="003C0824">
        <w:rPr>
          <w:b/>
          <w:bCs/>
          <w:sz w:val="20"/>
          <w:szCs w:val="20"/>
          <w:highlight w:val="lightGray"/>
          <w:lang w:val="de-DE"/>
        </w:rPr>
        <w:t>: Verordnung (EG) Nr. 765/2006</w:t>
      </w:r>
      <w:r w:rsidR="001D410F" w:rsidRPr="003C0824">
        <w:rPr>
          <w:b/>
          <w:bCs/>
          <w:sz w:val="20"/>
          <w:szCs w:val="20"/>
          <w:highlight w:val="lightGray"/>
          <w:lang w:val="de-DE"/>
        </w:rPr>
        <w:t xml:space="preserve"> (Teil II)</w:t>
      </w:r>
    </w:p>
    <w:p w14:paraId="5B75B051" w14:textId="77777777" w:rsidR="001E369F" w:rsidRDefault="001E369F" w:rsidP="00E82C13">
      <w:pPr>
        <w:jc w:val="left"/>
        <w:rPr>
          <w:sz w:val="20"/>
          <w:szCs w:val="20"/>
          <w:lang w:val="de-DE"/>
        </w:rPr>
      </w:pPr>
    </w:p>
    <w:p w14:paraId="43DCA542" w14:textId="2F732E3B" w:rsidR="006B4E4D" w:rsidRDefault="006B4E4D" w:rsidP="00E82C13">
      <w:pPr>
        <w:jc w:val="left"/>
        <w:rPr>
          <w:sz w:val="20"/>
          <w:szCs w:val="20"/>
          <w:lang w:val="de-DE"/>
        </w:rPr>
      </w:pPr>
      <w:r>
        <w:rPr>
          <w:sz w:val="20"/>
          <w:szCs w:val="20"/>
          <w:lang w:val="de-DE"/>
        </w:rPr>
        <w:t xml:space="preserve">Anders als im Falle des Russland-Embargos finden sich die personenbezogenen Sanktionen gegen Belarus nicht in einer eigenständigen Verordnung, sondern sind Bestandteil </w:t>
      </w:r>
      <w:r w:rsidR="00555AAE">
        <w:rPr>
          <w:sz w:val="20"/>
          <w:szCs w:val="20"/>
          <w:lang w:val="de-DE"/>
        </w:rPr>
        <w:t xml:space="preserve">der Embargo-Verordnung (EG) Nr. 765/2006, die darüber hinaus auch die güter- und </w:t>
      </w:r>
      <w:proofErr w:type="spellStart"/>
      <w:r w:rsidR="00555AAE">
        <w:rPr>
          <w:sz w:val="20"/>
          <w:szCs w:val="20"/>
          <w:lang w:val="de-DE"/>
        </w:rPr>
        <w:t>sektorbezogenen</w:t>
      </w:r>
      <w:proofErr w:type="spellEnd"/>
      <w:r w:rsidR="00555AAE">
        <w:rPr>
          <w:sz w:val="20"/>
          <w:szCs w:val="20"/>
          <w:lang w:val="de-DE"/>
        </w:rPr>
        <w:t xml:space="preserve"> sowie sonstigen Embargomaßnahmen beinhaltet. </w:t>
      </w:r>
      <w:r w:rsidR="008E588E">
        <w:rPr>
          <w:sz w:val="20"/>
          <w:szCs w:val="20"/>
          <w:lang w:val="de-DE"/>
        </w:rPr>
        <w:t xml:space="preserve">Art. </w:t>
      </w:r>
      <w:r w:rsidR="003844CA">
        <w:rPr>
          <w:sz w:val="20"/>
          <w:szCs w:val="20"/>
          <w:lang w:val="de-DE"/>
        </w:rPr>
        <w:t>2</w:t>
      </w:r>
      <w:r w:rsidR="008E588E">
        <w:rPr>
          <w:sz w:val="20"/>
          <w:szCs w:val="20"/>
          <w:lang w:val="de-DE"/>
        </w:rPr>
        <w:t xml:space="preserve"> Abs. </w:t>
      </w:r>
      <w:r w:rsidR="003844CA">
        <w:rPr>
          <w:sz w:val="20"/>
          <w:szCs w:val="20"/>
          <w:lang w:val="de-DE"/>
        </w:rPr>
        <w:t>2</w:t>
      </w:r>
      <w:r w:rsidR="008E588E">
        <w:rPr>
          <w:sz w:val="20"/>
          <w:szCs w:val="20"/>
          <w:lang w:val="de-DE"/>
        </w:rPr>
        <w:t xml:space="preserve"> der VO (EG) Nr. 765/2006 verbietet die unmittelbare oder mittelbare Bereitstellung von Geldern oder wirtschaftlichen Ressourcen an die in Anhang I aufgeführten natürlichen und juristischen Personen, Organisationen und Einrichtungen</w:t>
      </w:r>
      <w:r w:rsidR="003844CA">
        <w:rPr>
          <w:sz w:val="20"/>
          <w:szCs w:val="20"/>
          <w:lang w:val="de-DE"/>
        </w:rPr>
        <w:t xml:space="preserve">. Mit der </w:t>
      </w:r>
      <w:r w:rsidR="003844CA" w:rsidRPr="00D850A4">
        <w:rPr>
          <w:b/>
          <w:bCs/>
          <w:sz w:val="20"/>
          <w:szCs w:val="20"/>
          <w:lang w:val="de-DE"/>
        </w:rPr>
        <w:lastRenderedPageBreak/>
        <w:t xml:space="preserve">Durchführungsverordnung (EU) </w:t>
      </w:r>
      <w:r w:rsidR="007D4DAA" w:rsidRPr="00D850A4">
        <w:rPr>
          <w:b/>
          <w:bCs/>
          <w:sz w:val="20"/>
          <w:szCs w:val="20"/>
          <w:lang w:val="de-DE"/>
        </w:rPr>
        <w:t>2025/1469 vom 18.07.2025</w:t>
      </w:r>
      <w:r w:rsidR="007D4DAA">
        <w:rPr>
          <w:sz w:val="20"/>
          <w:szCs w:val="20"/>
          <w:lang w:val="de-DE"/>
        </w:rPr>
        <w:t xml:space="preserve"> wurden acht Unternehmen aus Belarus in </w:t>
      </w:r>
      <w:r w:rsidR="004F3B8C">
        <w:rPr>
          <w:sz w:val="20"/>
          <w:szCs w:val="20"/>
          <w:lang w:val="de-DE"/>
        </w:rPr>
        <w:t xml:space="preserve">diesen </w:t>
      </w:r>
      <w:r w:rsidR="007D4DAA">
        <w:rPr>
          <w:sz w:val="20"/>
          <w:szCs w:val="20"/>
          <w:lang w:val="de-DE"/>
        </w:rPr>
        <w:t>Anhang I der VO aufgenommen.</w:t>
      </w:r>
    </w:p>
    <w:p w14:paraId="5E555867" w14:textId="77777777" w:rsidR="00443232" w:rsidRDefault="00443232" w:rsidP="00E82C13">
      <w:pPr>
        <w:jc w:val="left"/>
        <w:rPr>
          <w:sz w:val="20"/>
          <w:szCs w:val="20"/>
          <w:lang w:val="de-DE"/>
        </w:rPr>
      </w:pPr>
    </w:p>
    <w:p w14:paraId="5529F383" w14:textId="030A45E5" w:rsidR="007F25A7" w:rsidRPr="005E2DE1" w:rsidRDefault="005E2DE1" w:rsidP="00E82C13">
      <w:pPr>
        <w:jc w:val="left"/>
        <w:rPr>
          <w:b/>
          <w:bCs/>
          <w:sz w:val="20"/>
          <w:szCs w:val="20"/>
          <w:lang w:val="de-DE"/>
        </w:rPr>
      </w:pPr>
      <w:r w:rsidRPr="003C0824">
        <w:rPr>
          <w:b/>
          <w:bCs/>
          <w:sz w:val="20"/>
          <w:szCs w:val="20"/>
          <w:highlight w:val="lightGray"/>
          <w:u w:val="single"/>
          <w:lang w:val="de-DE"/>
        </w:rPr>
        <w:t>Ausblick</w:t>
      </w:r>
      <w:r w:rsidRPr="003C0824">
        <w:rPr>
          <w:b/>
          <w:bCs/>
          <w:sz w:val="20"/>
          <w:szCs w:val="20"/>
          <w:highlight w:val="lightGray"/>
          <w:lang w:val="de-DE"/>
        </w:rPr>
        <w:t>: Nach dem Paket ist vor dem Paket</w:t>
      </w:r>
      <w:r w:rsidR="00694FFA">
        <w:rPr>
          <w:b/>
          <w:bCs/>
          <w:sz w:val="20"/>
          <w:szCs w:val="20"/>
          <w:highlight w:val="lightGray"/>
          <w:lang w:val="de-DE"/>
        </w:rPr>
        <w:t>…</w:t>
      </w:r>
    </w:p>
    <w:p w14:paraId="0684A014" w14:textId="77777777" w:rsidR="005E2DE1" w:rsidRDefault="005E2DE1" w:rsidP="00E82C13">
      <w:pPr>
        <w:jc w:val="left"/>
        <w:rPr>
          <w:sz w:val="20"/>
          <w:szCs w:val="20"/>
          <w:lang w:val="de-DE"/>
        </w:rPr>
      </w:pPr>
    </w:p>
    <w:p w14:paraId="05CA13B6" w14:textId="094236D2" w:rsidR="005E2DE1" w:rsidRDefault="005B5D34" w:rsidP="00E82C13">
      <w:pPr>
        <w:jc w:val="left"/>
        <w:rPr>
          <w:sz w:val="20"/>
          <w:szCs w:val="20"/>
          <w:lang w:val="de-DE"/>
        </w:rPr>
      </w:pPr>
      <w:r>
        <w:rPr>
          <w:sz w:val="20"/>
          <w:szCs w:val="20"/>
          <w:lang w:val="de-DE"/>
        </w:rPr>
        <w:t xml:space="preserve">Nachdem das „Gipfeltreffen“ in Alaska vom 15.08.2025 – erwartungsgemäß – erfolglos geblieben ist und Russland den Angriffskrieg gegen die Ukraine stattdessen nicht nur unvermindert, sondern härter als je zuvor fortsetzt, wurden seitens der EU unverzüglich weitere Maßnahmen angekündigt und die Mitgliedstaaten um Vorschläge hierzu gebeten. </w:t>
      </w:r>
      <w:r w:rsidR="00B1128D">
        <w:rPr>
          <w:sz w:val="20"/>
          <w:szCs w:val="20"/>
          <w:lang w:val="de-DE"/>
        </w:rPr>
        <w:t>Dass das in Kürze erwartete 19. Sanktionspaket bereits den von Präsident Trump geforderten vollständigen Verzicht auf russische Energie beinhalten wird</w:t>
      </w:r>
      <w:r w:rsidR="000F6FF5">
        <w:rPr>
          <w:sz w:val="20"/>
          <w:szCs w:val="20"/>
          <w:lang w:val="de-DE"/>
        </w:rPr>
        <w:t xml:space="preserve"> oder die Verhängung hoher Zölle gegen russlandfreundliche Staaten wie China</w:t>
      </w:r>
      <w:r w:rsidR="00B1128D">
        <w:rPr>
          <w:sz w:val="20"/>
          <w:szCs w:val="20"/>
          <w:lang w:val="de-DE"/>
        </w:rPr>
        <w:t xml:space="preserve">, darf bezweifelt werden. </w:t>
      </w:r>
      <w:r w:rsidR="000F6FF5">
        <w:rPr>
          <w:sz w:val="20"/>
          <w:szCs w:val="20"/>
          <w:lang w:val="de-DE"/>
        </w:rPr>
        <w:t xml:space="preserve">EU-Kommissionspräsidentin </w:t>
      </w:r>
      <w:r w:rsidR="00EC1E81">
        <w:rPr>
          <w:sz w:val="20"/>
          <w:szCs w:val="20"/>
          <w:lang w:val="de-DE"/>
        </w:rPr>
        <w:t xml:space="preserve">von der Leyen sprach zuletzt nur von einer Beschleunigung des Ausstiegs </w:t>
      </w:r>
      <w:r w:rsidR="00EC1E81" w:rsidRPr="00EC1E81">
        <w:rPr>
          <w:sz w:val="20"/>
          <w:szCs w:val="20"/>
          <w:lang w:val="de-DE"/>
        </w:rPr>
        <w:t>aus russischen fossilen Importen</w:t>
      </w:r>
      <w:r w:rsidR="00EC1E81">
        <w:rPr>
          <w:sz w:val="20"/>
          <w:szCs w:val="20"/>
          <w:lang w:val="de-DE"/>
        </w:rPr>
        <w:t xml:space="preserve"> und legte den Schwerpunkt des 19. Sanktionspaketes </w:t>
      </w:r>
      <w:r w:rsidR="00694FFA">
        <w:rPr>
          <w:sz w:val="20"/>
          <w:szCs w:val="20"/>
          <w:lang w:val="de-DE"/>
        </w:rPr>
        <w:t xml:space="preserve">neben dem Energiesektor </w:t>
      </w:r>
      <w:r w:rsidR="00EC1E81">
        <w:rPr>
          <w:sz w:val="20"/>
          <w:szCs w:val="20"/>
          <w:lang w:val="de-DE"/>
        </w:rPr>
        <w:t xml:space="preserve">(erneut) </w:t>
      </w:r>
      <w:r w:rsidR="00694FFA">
        <w:rPr>
          <w:sz w:val="20"/>
          <w:szCs w:val="20"/>
          <w:lang w:val="de-DE"/>
        </w:rPr>
        <w:t xml:space="preserve">auch auf den Bankensektor sowie die Verhinderung der </w:t>
      </w:r>
      <w:r w:rsidR="00694FFA" w:rsidRPr="00694FFA">
        <w:rPr>
          <w:sz w:val="20"/>
          <w:szCs w:val="20"/>
          <w:lang w:val="de-DE"/>
        </w:rPr>
        <w:t xml:space="preserve">Nutzung von Kryptowährungen zur </w:t>
      </w:r>
      <w:r w:rsidR="00694FFA">
        <w:rPr>
          <w:sz w:val="20"/>
          <w:szCs w:val="20"/>
          <w:lang w:val="de-DE"/>
        </w:rPr>
        <w:t>Sanktionsu</w:t>
      </w:r>
      <w:r w:rsidR="00694FFA" w:rsidRPr="00694FFA">
        <w:rPr>
          <w:sz w:val="20"/>
          <w:szCs w:val="20"/>
          <w:lang w:val="de-DE"/>
        </w:rPr>
        <w:t>mgehung</w:t>
      </w:r>
      <w:r w:rsidR="00694FFA">
        <w:rPr>
          <w:sz w:val="20"/>
          <w:szCs w:val="20"/>
          <w:lang w:val="de-DE"/>
        </w:rPr>
        <w:t xml:space="preserve">. </w:t>
      </w:r>
      <w:r w:rsidR="00E43807">
        <w:rPr>
          <w:sz w:val="20"/>
          <w:szCs w:val="20"/>
          <w:lang w:val="de-DE"/>
        </w:rPr>
        <w:t xml:space="preserve">Dies darf aber – wie das 18. Sanktionspaket gezeigt hat – nicht darüber hinwegtäuschen, dass auch die im- und exportierenden Handelsunternehmen wiederum von den neuen Maßnahmen betroffen sein können, auch wenn die Medien den Fokus </w:t>
      </w:r>
      <w:r w:rsidR="00C262BF">
        <w:rPr>
          <w:sz w:val="20"/>
          <w:szCs w:val="20"/>
          <w:lang w:val="de-DE"/>
        </w:rPr>
        <w:t>eher auf die Energie- und Finanzbranche richten.</w:t>
      </w:r>
    </w:p>
    <w:bookmarkEnd w:id="0"/>
    <w:sectPr w:rsidR="005E2DE1" w:rsidSect="00381C39">
      <w:headerReference w:type="even" r:id="rId7"/>
      <w:headerReference w:type="default" r:id="rId8"/>
      <w:footerReference w:type="even" r:id="rId9"/>
      <w:footerReference w:type="default" r:id="rId10"/>
      <w:headerReference w:type="first" r:id="rId11"/>
      <w:footerReference w:type="first" r:id="rId12"/>
      <w:pgSz w:w="11907" w:h="16840" w:code="9"/>
      <w:pgMar w:top="1440" w:right="1021" w:bottom="1440" w:left="14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1F83" w14:textId="77777777" w:rsidR="00381C39" w:rsidRDefault="00381C39">
      <w:r>
        <w:separator/>
      </w:r>
    </w:p>
    <w:p w14:paraId="1DD4A46E" w14:textId="77777777" w:rsidR="00381C39" w:rsidRDefault="00381C39"/>
  </w:endnote>
  <w:endnote w:type="continuationSeparator" w:id="0">
    <w:p w14:paraId="1315BF2F" w14:textId="77777777" w:rsidR="00381C39" w:rsidRDefault="00381C39">
      <w:r>
        <w:continuationSeparator/>
      </w:r>
    </w:p>
    <w:p w14:paraId="44542D64" w14:textId="77777777" w:rsidR="00381C39" w:rsidRDefault="0038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55A1" w14:textId="77777777" w:rsidR="002F4099" w:rsidRDefault="002F40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96BE" w14:textId="77777777" w:rsidR="002F4099" w:rsidRDefault="002F40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C9A" w14:textId="77777777" w:rsidR="002F4099" w:rsidRDefault="002F4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C566" w14:textId="77777777" w:rsidR="00381C39" w:rsidRDefault="00381C39">
      <w:r>
        <w:separator/>
      </w:r>
    </w:p>
    <w:p w14:paraId="6067CF04" w14:textId="77777777" w:rsidR="00381C39" w:rsidRDefault="00381C39"/>
  </w:footnote>
  <w:footnote w:type="continuationSeparator" w:id="0">
    <w:p w14:paraId="378078F7" w14:textId="77777777" w:rsidR="00381C39" w:rsidRDefault="00381C39">
      <w:r>
        <w:continuationSeparator/>
      </w:r>
    </w:p>
    <w:p w14:paraId="56AD7A5D" w14:textId="77777777" w:rsidR="00381C39" w:rsidRDefault="0038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323D" w14:textId="77777777" w:rsidR="002F4099" w:rsidRDefault="002F40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A11F" w14:textId="77777777" w:rsidR="002F4099" w:rsidRDefault="002F40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B2C4" w14:textId="77777777" w:rsidR="002F4099" w:rsidRDefault="002F4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23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984364"/>
    <w:lvl w:ilvl="0">
      <w:start w:val="1"/>
      <w:numFmt w:val="lowerRoman"/>
      <w:pStyle w:val="Listennummer4"/>
      <w:lvlText w:val="(%1)"/>
      <w:lvlJc w:val="left"/>
      <w:pPr>
        <w:tabs>
          <w:tab w:val="num" w:pos="1418"/>
        </w:tabs>
        <w:ind w:left="1418" w:hanging="738"/>
      </w:pPr>
      <w:rPr>
        <w:rFonts w:ascii="Arial" w:hAnsi="Arial" w:cs="Arial" w:hint="default"/>
        <w:b w:val="0"/>
        <w:i w:val="0"/>
        <w:color w:val="auto"/>
        <w:sz w:val="22"/>
        <w:szCs w:val="22"/>
      </w:rPr>
    </w:lvl>
  </w:abstractNum>
  <w:abstractNum w:abstractNumId="2" w15:restartNumberingAfterBreak="0">
    <w:nsid w:val="FFFFFF7E"/>
    <w:multiLevelType w:val="singleLevel"/>
    <w:tmpl w:val="8424FA18"/>
    <w:lvl w:ilvl="0">
      <w:start w:val="1"/>
      <w:numFmt w:val="lowerLetter"/>
      <w:pStyle w:val="Listennummer3"/>
      <w:lvlText w:val="(%1)"/>
      <w:lvlJc w:val="left"/>
      <w:pPr>
        <w:tabs>
          <w:tab w:val="num" w:pos="1418"/>
        </w:tabs>
        <w:ind w:left="1418" w:hanging="738"/>
      </w:pPr>
      <w:rPr>
        <w:rFonts w:ascii="Arial" w:hAnsi="Arial" w:cs="Arial" w:hint="default"/>
        <w:b w:val="0"/>
        <w:i w:val="0"/>
        <w:color w:val="auto"/>
        <w:sz w:val="22"/>
        <w:szCs w:val="22"/>
      </w:rPr>
    </w:lvl>
  </w:abstractNum>
  <w:abstractNum w:abstractNumId="3" w15:restartNumberingAfterBreak="0">
    <w:nsid w:val="FFFFFF7F"/>
    <w:multiLevelType w:val="singleLevel"/>
    <w:tmpl w:val="295040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A82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A4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969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56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CEAFBA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B12B34"/>
    <w:multiLevelType w:val="hybridMultilevel"/>
    <w:tmpl w:val="395261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3F0372F"/>
    <w:multiLevelType w:val="hybridMultilevel"/>
    <w:tmpl w:val="AF586AA4"/>
    <w:lvl w:ilvl="0" w:tplc="82DA4EDA">
      <w:start w:val="1"/>
      <w:numFmt w:val="bullet"/>
      <w:pStyle w:val="bullet1"/>
      <w:lvlText w:val=""/>
      <w:lvlJc w:val="left"/>
      <w:pPr>
        <w:tabs>
          <w:tab w:val="num" w:pos="567"/>
        </w:tabs>
        <w:ind w:left="567" w:hanging="567"/>
      </w:pPr>
      <w:rPr>
        <w:rFonts w:ascii="Symbol" w:hAnsi="Symbol" w:hint="default"/>
        <w:i w:val="0"/>
        <w:color w:val="auto"/>
        <w:sz w:val="22"/>
        <w:szCs w:val="24"/>
      </w:rPr>
    </w:lvl>
    <w:lvl w:ilvl="1" w:tplc="79564A80" w:tentative="1">
      <w:start w:val="1"/>
      <w:numFmt w:val="lowerLetter"/>
      <w:lvlText w:val="%2."/>
      <w:lvlJc w:val="left"/>
      <w:pPr>
        <w:tabs>
          <w:tab w:val="num" w:pos="1440"/>
        </w:tabs>
        <w:ind w:left="1440" w:hanging="360"/>
      </w:pPr>
    </w:lvl>
    <w:lvl w:ilvl="2" w:tplc="70804EA0" w:tentative="1">
      <w:start w:val="1"/>
      <w:numFmt w:val="lowerRoman"/>
      <w:lvlText w:val="%3."/>
      <w:lvlJc w:val="right"/>
      <w:pPr>
        <w:tabs>
          <w:tab w:val="num" w:pos="2160"/>
        </w:tabs>
        <w:ind w:left="2160" w:hanging="180"/>
      </w:pPr>
    </w:lvl>
    <w:lvl w:ilvl="3" w:tplc="B998A4A0" w:tentative="1">
      <w:start w:val="1"/>
      <w:numFmt w:val="decimal"/>
      <w:lvlText w:val="%4."/>
      <w:lvlJc w:val="left"/>
      <w:pPr>
        <w:tabs>
          <w:tab w:val="num" w:pos="2880"/>
        </w:tabs>
        <w:ind w:left="2880" w:hanging="360"/>
      </w:pPr>
    </w:lvl>
    <w:lvl w:ilvl="4" w:tplc="23EA0B5E" w:tentative="1">
      <w:start w:val="1"/>
      <w:numFmt w:val="lowerLetter"/>
      <w:lvlText w:val="%5."/>
      <w:lvlJc w:val="left"/>
      <w:pPr>
        <w:tabs>
          <w:tab w:val="num" w:pos="3600"/>
        </w:tabs>
        <w:ind w:left="3600" w:hanging="360"/>
      </w:pPr>
    </w:lvl>
    <w:lvl w:ilvl="5" w:tplc="80DE3F3A" w:tentative="1">
      <w:start w:val="1"/>
      <w:numFmt w:val="lowerRoman"/>
      <w:lvlText w:val="%6."/>
      <w:lvlJc w:val="right"/>
      <w:pPr>
        <w:tabs>
          <w:tab w:val="num" w:pos="4320"/>
        </w:tabs>
        <w:ind w:left="4320" w:hanging="180"/>
      </w:pPr>
    </w:lvl>
    <w:lvl w:ilvl="6" w:tplc="FF38A2C0" w:tentative="1">
      <w:start w:val="1"/>
      <w:numFmt w:val="decimal"/>
      <w:lvlText w:val="%7."/>
      <w:lvlJc w:val="left"/>
      <w:pPr>
        <w:tabs>
          <w:tab w:val="num" w:pos="5040"/>
        </w:tabs>
        <w:ind w:left="5040" w:hanging="360"/>
      </w:pPr>
    </w:lvl>
    <w:lvl w:ilvl="7" w:tplc="0B9CB630" w:tentative="1">
      <w:start w:val="1"/>
      <w:numFmt w:val="lowerLetter"/>
      <w:lvlText w:val="%8."/>
      <w:lvlJc w:val="left"/>
      <w:pPr>
        <w:tabs>
          <w:tab w:val="num" w:pos="5760"/>
        </w:tabs>
        <w:ind w:left="5760" w:hanging="360"/>
      </w:pPr>
    </w:lvl>
    <w:lvl w:ilvl="8" w:tplc="C3AAE1D0" w:tentative="1">
      <w:start w:val="1"/>
      <w:numFmt w:val="lowerRoman"/>
      <w:lvlText w:val="%9."/>
      <w:lvlJc w:val="right"/>
      <w:pPr>
        <w:tabs>
          <w:tab w:val="num" w:pos="6480"/>
        </w:tabs>
        <w:ind w:left="6480" w:hanging="180"/>
      </w:pPr>
    </w:lvl>
  </w:abstractNum>
  <w:abstractNum w:abstractNumId="11" w15:restartNumberingAfterBreak="0">
    <w:nsid w:val="09A646C7"/>
    <w:multiLevelType w:val="hybridMultilevel"/>
    <w:tmpl w:val="08B699A0"/>
    <w:lvl w:ilvl="0" w:tplc="EBACD12E">
      <w:start w:val="1"/>
      <w:numFmt w:val="bullet"/>
      <w:pStyle w:val="bullet3"/>
      <w:lvlText w:val=""/>
      <w:lvlJc w:val="left"/>
      <w:pPr>
        <w:tabs>
          <w:tab w:val="num" w:pos="1701"/>
        </w:tabs>
        <w:ind w:left="1701" w:hanging="567"/>
      </w:pPr>
      <w:rPr>
        <w:rFonts w:ascii="Symbol" w:hAnsi="Symbol" w:hint="default"/>
        <w:i w:val="0"/>
        <w:color w:val="auto"/>
        <w:sz w:val="22"/>
        <w:szCs w:val="24"/>
      </w:rPr>
    </w:lvl>
    <w:lvl w:ilvl="1" w:tplc="7196E7F4" w:tentative="1">
      <w:start w:val="1"/>
      <w:numFmt w:val="bullet"/>
      <w:lvlText w:val="o"/>
      <w:lvlJc w:val="left"/>
      <w:pPr>
        <w:tabs>
          <w:tab w:val="num" w:pos="1440"/>
        </w:tabs>
        <w:ind w:left="1440" w:hanging="360"/>
      </w:pPr>
      <w:rPr>
        <w:rFonts w:ascii="Courier New" w:hAnsi="Courier New" w:cs="Courier New" w:hint="default"/>
      </w:rPr>
    </w:lvl>
    <w:lvl w:ilvl="2" w:tplc="F77E5EA8" w:tentative="1">
      <w:start w:val="1"/>
      <w:numFmt w:val="bullet"/>
      <w:lvlText w:val=""/>
      <w:lvlJc w:val="left"/>
      <w:pPr>
        <w:tabs>
          <w:tab w:val="num" w:pos="2160"/>
        </w:tabs>
        <w:ind w:left="2160" w:hanging="360"/>
      </w:pPr>
      <w:rPr>
        <w:rFonts w:ascii="Wingdings" w:hAnsi="Wingdings" w:hint="default"/>
      </w:rPr>
    </w:lvl>
    <w:lvl w:ilvl="3" w:tplc="D856E3AA" w:tentative="1">
      <w:start w:val="1"/>
      <w:numFmt w:val="bullet"/>
      <w:lvlText w:val=""/>
      <w:lvlJc w:val="left"/>
      <w:pPr>
        <w:tabs>
          <w:tab w:val="num" w:pos="2880"/>
        </w:tabs>
        <w:ind w:left="2880" w:hanging="360"/>
      </w:pPr>
      <w:rPr>
        <w:rFonts w:ascii="Symbol" w:hAnsi="Symbol" w:hint="default"/>
      </w:rPr>
    </w:lvl>
    <w:lvl w:ilvl="4" w:tplc="B658F31A" w:tentative="1">
      <w:start w:val="1"/>
      <w:numFmt w:val="bullet"/>
      <w:lvlText w:val="o"/>
      <w:lvlJc w:val="left"/>
      <w:pPr>
        <w:tabs>
          <w:tab w:val="num" w:pos="3600"/>
        </w:tabs>
        <w:ind w:left="3600" w:hanging="360"/>
      </w:pPr>
      <w:rPr>
        <w:rFonts w:ascii="Courier New" w:hAnsi="Courier New" w:cs="Courier New" w:hint="default"/>
      </w:rPr>
    </w:lvl>
    <w:lvl w:ilvl="5" w:tplc="D47E9E9A" w:tentative="1">
      <w:start w:val="1"/>
      <w:numFmt w:val="bullet"/>
      <w:lvlText w:val=""/>
      <w:lvlJc w:val="left"/>
      <w:pPr>
        <w:tabs>
          <w:tab w:val="num" w:pos="4320"/>
        </w:tabs>
        <w:ind w:left="4320" w:hanging="360"/>
      </w:pPr>
      <w:rPr>
        <w:rFonts w:ascii="Wingdings" w:hAnsi="Wingdings" w:hint="default"/>
      </w:rPr>
    </w:lvl>
    <w:lvl w:ilvl="6" w:tplc="08BA26F8" w:tentative="1">
      <w:start w:val="1"/>
      <w:numFmt w:val="bullet"/>
      <w:lvlText w:val=""/>
      <w:lvlJc w:val="left"/>
      <w:pPr>
        <w:tabs>
          <w:tab w:val="num" w:pos="5040"/>
        </w:tabs>
        <w:ind w:left="5040" w:hanging="360"/>
      </w:pPr>
      <w:rPr>
        <w:rFonts w:ascii="Symbol" w:hAnsi="Symbol" w:hint="default"/>
      </w:rPr>
    </w:lvl>
    <w:lvl w:ilvl="7" w:tplc="57500D94" w:tentative="1">
      <w:start w:val="1"/>
      <w:numFmt w:val="bullet"/>
      <w:lvlText w:val="o"/>
      <w:lvlJc w:val="left"/>
      <w:pPr>
        <w:tabs>
          <w:tab w:val="num" w:pos="5760"/>
        </w:tabs>
        <w:ind w:left="5760" w:hanging="360"/>
      </w:pPr>
      <w:rPr>
        <w:rFonts w:ascii="Courier New" w:hAnsi="Courier New" w:cs="Courier New" w:hint="default"/>
      </w:rPr>
    </w:lvl>
    <w:lvl w:ilvl="8" w:tplc="4E92C0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4A093E"/>
    <w:multiLevelType w:val="multilevel"/>
    <w:tmpl w:val="002E32C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15F21C6"/>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14" w15:restartNumberingAfterBreak="0">
    <w:nsid w:val="142F1209"/>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15" w15:restartNumberingAfterBreak="0">
    <w:nsid w:val="20146531"/>
    <w:multiLevelType w:val="hybridMultilevel"/>
    <w:tmpl w:val="9EA803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242CD1"/>
    <w:multiLevelType w:val="multilevel"/>
    <w:tmpl w:val="6AD8492C"/>
    <w:lvl w:ilvl="0">
      <w:start w:val="1"/>
      <w:numFmt w:val="decimal"/>
      <w:lvlText w:val="%1."/>
      <w:lvlJc w:val="left"/>
      <w:pPr>
        <w:tabs>
          <w:tab w:val="num" w:pos="567"/>
        </w:tabs>
        <w:ind w:left="567" w:hanging="567"/>
      </w:pPr>
      <w:rPr>
        <w:rFonts w:hint="default"/>
        <w:b w:val="0"/>
        <w:i w:val="0"/>
        <w:color w:val="auto"/>
        <w:sz w:val="22"/>
        <w:szCs w:val="22"/>
      </w:rPr>
    </w:lvl>
    <w:lvl w:ilvl="1">
      <w:start w:val="2"/>
      <w:numFmt w:val="decimal"/>
      <w:lvlText w:val="%1.%2."/>
      <w:lvlJc w:val="left"/>
      <w:pPr>
        <w:tabs>
          <w:tab w:val="num" w:pos="1359"/>
        </w:tabs>
        <w:ind w:left="1359" w:hanging="432"/>
      </w:pPr>
      <w:rPr>
        <w:rFonts w:hint="default"/>
      </w:rPr>
    </w:lvl>
    <w:lvl w:ilvl="2">
      <w:start w:val="1"/>
      <w:numFmt w:val="decimal"/>
      <w:isLgl/>
      <w:lvlText w:val="%1.%2.%3."/>
      <w:lvlJc w:val="left"/>
      <w:pPr>
        <w:tabs>
          <w:tab w:val="num" w:pos="1701"/>
        </w:tabs>
        <w:ind w:left="1701" w:hanging="567"/>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7" w15:restartNumberingAfterBreak="0">
    <w:nsid w:val="315A7826"/>
    <w:multiLevelType w:val="multilevel"/>
    <w:tmpl w:val="F3A0D3E2"/>
    <w:lvl w:ilvl="0">
      <w:start w:val="1"/>
      <w:numFmt w:val="decimal"/>
      <w:pStyle w:val="berschrift1"/>
      <w:lvlText w:val="%1."/>
      <w:lvlJc w:val="left"/>
      <w:pPr>
        <w:ind w:left="567" w:hanging="567"/>
      </w:pPr>
      <w:rPr>
        <w:rFonts w:hint="default"/>
        <w:b w:val="0"/>
        <w:i w:val="0"/>
        <w:color w:val="auto"/>
      </w:rPr>
    </w:lvl>
    <w:lvl w:ilvl="1">
      <w:start w:val="1"/>
      <w:numFmt w:val="decimal"/>
      <w:pStyle w:val="berschrift2"/>
      <w:lvlText w:val="%1.%2"/>
      <w:lvlJc w:val="left"/>
      <w:pPr>
        <w:ind w:left="1134" w:hanging="567"/>
      </w:pPr>
      <w:rPr>
        <w:rFonts w:hint="default"/>
        <w:b w:val="0"/>
        <w:i w:val="0"/>
        <w:color w:val="auto"/>
      </w:rPr>
    </w:lvl>
    <w:lvl w:ilvl="2">
      <w:start w:val="1"/>
      <w:numFmt w:val="decimal"/>
      <w:pStyle w:val="berschrift3"/>
      <w:lvlText w:val="%1.%2.%3"/>
      <w:lvlJc w:val="left"/>
      <w:pPr>
        <w:ind w:left="1701" w:hanging="567"/>
      </w:pPr>
      <w:rPr>
        <w:rFonts w:hint="default"/>
        <w:b w:val="0"/>
        <w:i w:val="0"/>
      </w:rPr>
    </w:lvl>
    <w:lvl w:ilvl="3">
      <w:start w:val="1"/>
      <w:numFmt w:val="decimal"/>
      <w:pStyle w:val="berschrift4"/>
      <w:lvlText w:val="%1.%2.%3.%4"/>
      <w:lvlJc w:val="left"/>
      <w:pPr>
        <w:ind w:left="2552" w:hanging="851"/>
      </w:pPr>
      <w:rPr>
        <w:rFonts w:hint="default"/>
      </w:rPr>
    </w:lvl>
    <w:lvl w:ilvl="4">
      <w:start w:val="1"/>
      <w:numFmt w:val="decimal"/>
      <w:pStyle w:val="berschrift5"/>
      <w:lvlText w:val="%1.%2.%3.%4.%5"/>
      <w:lvlJc w:val="left"/>
      <w:pPr>
        <w:ind w:left="3119" w:hanging="851"/>
      </w:pPr>
      <w:rPr>
        <w:rFonts w:hint="default"/>
      </w:rPr>
    </w:lvl>
    <w:lvl w:ilvl="5">
      <w:start w:val="1"/>
      <w:numFmt w:val="decimal"/>
      <w:pStyle w:val="berschrift6"/>
      <w:lvlText w:val="%1.%2.%3.%4.%5.%6"/>
      <w:lvlJc w:val="left"/>
      <w:pPr>
        <w:ind w:left="3969" w:hanging="1134"/>
      </w:pPr>
      <w:rPr>
        <w:rFonts w:hint="default"/>
        <w:sz w:val="22"/>
      </w:rPr>
    </w:lvl>
    <w:lvl w:ilvl="6">
      <w:start w:val="1"/>
      <w:numFmt w:val="decimal"/>
      <w:pStyle w:val="berschrift7"/>
      <w:lvlText w:val="%1.%2.%3.%4.%5.%6.%7"/>
      <w:lvlJc w:val="left"/>
      <w:pPr>
        <w:ind w:left="5103" w:hanging="1701"/>
      </w:pPr>
      <w:rPr>
        <w:rFonts w:hint="default"/>
      </w:rPr>
    </w:lvl>
    <w:lvl w:ilvl="7">
      <w:start w:val="1"/>
      <w:numFmt w:val="decimal"/>
      <w:pStyle w:val="berschrift8"/>
      <w:lvlText w:val="%1.%2.%3.%4.%5.%6.%7.%8"/>
      <w:lvlJc w:val="left"/>
      <w:pPr>
        <w:ind w:left="5670" w:hanging="1701"/>
      </w:pPr>
      <w:rPr>
        <w:rFonts w:hint="default"/>
        <w:color w:val="auto"/>
      </w:rPr>
    </w:lvl>
    <w:lvl w:ilvl="8">
      <w:start w:val="1"/>
      <w:numFmt w:val="decimal"/>
      <w:pStyle w:val="berschrift9"/>
      <w:lvlText w:val="%1.%2.%3.%4.%5.%6.%7.%8.%9"/>
      <w:lvlJc w:val="left"/>
      <w:pPr>
        <w:ind w:left="6237" w:hanging="1701"/>
      </w:pPr>
      <w:rPr>
        <w:rFonts w:hint="default"/>
        <w:color w:val="auto"/>
      </w:rPr>
    </w:lvl>
  </w:abstractNum>
  <w:abstractNum w:abstractNumId="18" w15:restartNumberingAfterBreak="0">
    <w:nsid w:val="3CDB5EC5"/>
    <w:multiLevelType w:val="hybridMultilevel"/>
    <w:tmpl w:val="B5724FE8"/>
    <w:lvl w:ilvl="0" w:tplc="46802732">
      <w:start w:val="1"/>
      <w:numFmt w:val="decimal"/>
      <w:lvlText w:val="1.%1"/>
      <w:lvlJc w:val="left"/>
      <w:pPr>
        <w:tabs>
          <w:tab w:val="num" w:pos="1418"/>
        </w:tabs>
        <w:ind w:left="1418" w:hanging="851"/>
      </w:pPr>
      <w:rPr>
        <w:rFonts w:ascii="Arial" w:hAnsi="Arial" w:cs="Arial"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3675CE"/>
    <w:multiLevelType w:val="hybridMultilevel"/>
    <w:tmpl w:val="F1B671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E23B60"/>
    <w:multiLevelType w:val="hybridMultilevel"/>
    <w:tmpl w:val="25EE82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DF2E96"/>
    <w:multiLevelType w:val="multilevel"/>
    <w:tmpl w:val="1E5E3F78"/>
    <w:lvl w:ilvl="0">
      <w:start w:val="1"/>
      <w:numFmt w:val="decimal"/>
      <w:lvlText w:val="%1."/>
      <w:lvlJc w:val="left"/>
      <w:pPr>
        <w:ind w:left="567" w:hanging="567"/>
      </w:pPr>
      <w:rPr>
        <w:rFonts w:hint="default"/>
        <w:b w:val="0"/>
        <w:i w:val="0"/>
      </w:rPr>
    </w:lvl>
    <w:lvl w:ilvl="1">
      <w:start w:val="1"/>
      <w:numFmt w:val="decimal"/>
      <w:lvlText w:val="%1.%2"/>
      <w:lvlJc w:val="left"/>
      <w:pPr>
        <w:ind w:left="1134" w:hanging="567"/>
      </w:pPr>
      <w:rPr>
        <w:rFonts w:hint="default"/>
        <w:b w:val="0"/>
        <w:i w:val="0"/>
        <w:color w:val="auto"/>
      </w:rPr>
    </w:lvl>
    <w:lvl w:ilvl="2">
      <w:start w:val="1"/>
      <w:numFmt w:val="decimal"/>
      <w:lvlText w:val="%1.%2.%3"/>
      <w:lvlJc w:val="left"/>
      <w:pPr>
        <w:ind w:left="1701" w:hanging="567"/>
      </w:pPr>
      <w:rPr>
        <w:rFonts w:hint="default"/>
        <w:b w:val="0"/>
        <w:i w:val="0"/>
      </w:rPr>
    </w:lvl>
    <w:lvl w:ilvl="3">
      <w:start w:val="1"/>
      <w:numFmt w:val="decimal"/>
      <w:lvlText w:val="%1.%2.%3.%4"/>
      <w:lvlJc w:val="left"/>
      <w:pPr>
        <w:ind w:left="2268" w:hanging="567"/>
      </w:pPr>
      <w:rPr>
        <w:rFonts w:hint="default"/>
      </w:rPr>
    </w:lvl>
    <w:lvl w:ilvl="4">
      <w:start w:val="1"/>
      <w:numFmt w:val="decimal"/>
      <w:lvlText w:val="%1.%2.%3.%4.%5"/>
      <w:lvlJc w:val="left"/>
      <w:pPr>
        <w:ind w:left="3402" w:hanging="1134"/>
      </w:pPr>
      <w:rPr>
        <w:rFonts w:hint="default"/>
      </w:rPr>
    </w:lvl>
    <w:lvl w:ilvl="5">
      <w:start w:val="1"/>
      <w:numFmt w:val="decimal"/>
      <w:lvlText w:val="%1.%2.%3.%4.%5.%6"/>
      <w:lvlJc w:val="left"/>
      <w:pPr>
        <w:ind w:left="3969" w:hanging="1134"/>
      </w:pPr>
      <w:rPr>
        <w:rFonts w:hint="default"/>
      </w:rPr>
    </w:lvl>
    <w:lvl w:ilvl="6">
      <w:start w:val="1"/>
      <w:numFmt w:val="decimal"/>
      <w:lvlText w:val="%1.%2.%3.%4.%5.%6.%7"/>
      <w:lvlJc w:val="left"/>
      <w:pPr>
        <w:ind w:left="4536" w:hanging="1134"/>
      </w:pPr>
      <w:rPr>
        <w:rFonts w:hint="default"/>
      </w:rPr>
    </w:lvl>
    <w:lvl w:ilvl="7">
      <w:start w:val="1"/>
      <w:numFmt w:val="decimal"/>
      <w:lvlText w:val="%1.%2.%3.%4.%5.%6.%7.%8"/>
      <w:lvlJc w:val="left"/>
      <w:pPr>
        <w:ind w:left="5103" w:hanging="1134"/>
      </w:pPr>
      <w:rPr>
        <w:rFonts w:hint="default"/>
        <w:color w:val="auto"/>
      </w:rPr>
    </w:lvl>
    <w:lvl w:ilvl="8">
      <w:start w:val="1"/>
      <w:numFmt w:val="decimal"/>
      <w:lvlText w:val="%1.%2.%3.%4.%5.%6.%7.%8.%9"/>
      <w:lvlJc w:val="left"/>
      <w:pPr>
        <w:ind w:left="5670" w:hanging="1134"/>
      </w:pPr>
      <w:rPr>
        <w:rFonts w:hint="default"/>
        <w:color w:val="auto"/>
      </w:rPr>
    </w:lvl>
  </w:abstractNum>
  <w:abstractNum w:abstractNumId="22" w15:restartNumberingAfterBreak="0">
    <w:nsid w:val="591C5292"/>
    <w:multiLevelType w:val="multilevel"/>
    <w:tmpl w:val="4DA4FCA2"/>
    <w:lvl w:ilvl="0">
      <w:start w:val="1"/>
      <w:numFmt w:val="decimal"/>
      <w:pStyle w:val="Listennummer"/>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94"/>
        </w:tabs>
        <w:ind w:left="-394" w:hanging="1080"/>
      </w:pPr>
      <w:rPr>
        <w:rFonts w:hint="default"/>
      </w:rPr>
    </w:lvl>
    <w:lvl w:ilvl="5">
      <w:start w:val="1"/>
      <w:numFmt w:val="decimal"/>
      <w:lvlText w:val="%1.%2.%3.%4.%5.%6"/>
      <w:lvlJc w:val="left"/>
      <w:pPr>
        <w:tabs>
          <w:tab w:val="num" w:pos="-394"/>
        </w:tabs>
        <w:ind w:left="-394" w:hanging="1080"/>
      </w:pPr>
      <w:rPr>
        <w:rFonts w:hint="default"/>
      </w:rPr>
    </w:lvl>
    <w:lvl w:ilvl="6">
      <w:start w:val="1"/>
      <w:numFmt w:val="decimal"/>
      <w:lvlText w:val="%1.%2.%3.%4.%5.%6.%7"/>
      <w:lvlJc w:val="left"/>
      <w:pPr>
        <w:tabs>
          <w:tab w:val="num" w:pos="-34"/>
        </w:tabs>
        <w:ind w:left="-34" w:hanging="1440"/>
      </w:pPr>
      <w:rPr>
        <w:rFonts w:hint="default"/>
      </w:rPr>
    </w:lvl>
    <w:lvl w:ilvl="7">
      <w:start w:val="1"/>
      <w:numFmt w:val="decimal"/>
      <w:lvlText w:val="%1.%2.%3.%4.%5.%6.%7.%8"/>
      <w:lvlJc w:val="left"/>
      <w:pPr>
        <w:tabs>
          <w:tab w:val="num" w:pos="-34"/>
        </w:tabs>
        <w:ind w:left="-34" w:hanging="1440"/>
      </w:pPr>
      <w:rPr>
        <w:rFonts w:hint="default"/>
      </w:rPr>
    </w:lvl>
    <w:lvl w:ilvl="8">
      <w:start w:val="1"/>
      <w:numFmt w:val="decimal"/>
      <w:lvlText w:val="%1.%2.%3.%4.%5.%6.%7.%8.%9"/>
      <w:lvlJc w:val="left"/>
      <w:pPr>
        <w:tabs>
          <w:tab w:val="num" w:pos="326"/>
        </w:tabs>
        <w:ind w:left="326" w:hanging="1800"/>
      </w:pPr>
      <w:rPr>
        <w:rFonts w:hint="default"/>
      </w:rPr>
    </w:lvl>
  </w:abstractNum>
  <w:abstractNum w:abstractNumId="23" w15:restartNumberingAfterBreak="0">
    <w:nsid w:val="60881944"/>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24" w15:restartNumberingAfterBreak="0">
    <w:nsid w:val="72197497"/>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25" w15:restartNumberingAfterBreak="0">
    <w:nsid w:val="78B34D5E"/>
    <w:multiLevelType w:val="multilevel"/>
    <w:tmpl w:val="EC96C37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7CD13A25"/>
    <w:multiLevelType w:val="hybridMultilevel"/>
    <w:tmpl w:val="08BC7A22"/>
    <w:lvl w:ilvl="0" w:tplc="8FA67D54">
      <w:start w:val="1"/>
      <w:numFmt w:val="lowerLetter"/>
      <w:lvlText w:val="(%1)"/>
      <w:lvlJc w:val="left"/>
      <w:pPr>
        <w:tabs>
          <w:tab w:val="num" w:pos="1418"/>
        </w:tabs>
        <w:ind w:left="1418" w:hanging="738"/>
      </w:pPr>
      <w:rPr>
        <w:rFonts w:ascii="Arial" w:hAnsi="Arial" w:cs="Arial" w:hint="default"/>
        <w:b w:val="0"/>
        <w:i w:val="0"/>
        <w:color w:val="auto"/>
        <w:sz w:val="22"/>
        <w:szCs w:val="22"/>
      </w:rPr>
    </w:lvl>
    <w:lvl w:ilvl="1" w:tplc="67860FAA" w:tentative="1">
      <w:start w:val="1"/>
      <w:numFmt w:val="lowerLetter"/>
      <w:lvlText w:val="%2."/>
      <w:lvlJc w:val="left"/>
      <w:pPr>
        <w:tabs>
          <w:tab w:val="num" w:pos="1440"/>
        </w:tabs>
        <w:ind w:left="1440" w:hanging="360"/>
      </w:pPr>
    </w:lvl>
    <w:lvl w:ilvl="2" w:tplc="4DA64EA0" w:tentative="1">
      <w:start w:val="1"/>
      <w:numFmt w:val="lowerRoman"/>
      <w:lvlText w:val="%3."/>
      <w:lvlJc w:val="right"/>
      <w:pPr>
        <w:tabs>
          <w:tab w:val="num" w:pos="2160"/>
        </w:tabs>
        <w:ind w:left="2160" w:hanging="180"/>
      </w:pPr>
    </w:lvl>
    <w:lvl w:ilvl="3" w:tplc="E9224A6E" w:tentative="1">
      <w:start w:val="1"/>
      <w:numFmt w:val="decimal"/>
      <w:lvlText w:val="%4."/>
      <w:lvlJc w:val="left"/>
      <w:pPr>
        <w:tabs>
          <w:tab w:val="num" w:pos="2880"/>
        </w:tabs>
        <w:ind w:left="2880" w:hanging="360"/>
      </w:pPr>
    </w:lvl>
    <w:lvl w:ilvl="4" w:tplc="C844698C" w:tentative="1">
      <w:start w:val="1"/>
      <w:numFmt w:val="lowerLetter"/>
      <w:lvlText w:val="%5."/>
      <w:lvlJc w:val="left"/>
      <w:pPr>
        <w:tabs>
          <w:tab w:val="num" w:pos="3600"/>
        </w:tabs>
        <w:ind w:left="3600" w:hanging="360"/>
      </w:pPr>
    </w:lvl>
    <w:lvl w:ilvl="5" w:tplc="B39C0CAC" w:tentative="1">
      <w:start w:val="1"/>
      <w:numFmt w:val="lowerRoman"/>
      <w:lvlText w:val="%6."/>
      <w:lvlJc w:val="right"/>
      <w:pPr>
        <w:tabs>
          <w:tab w:val="num" w:pos="4320"/>
        </w:tabs>
        <w:ind w:left="4320" w:hanging="180"/>
      </w:pPr>
    </w:lvl>
    <w:lvl w:ilvl="6" w:tplc="61324118" w:tentative="1">
      <w:start w:val="1"/>
      <w:numFmt w:val="decimal"/>
      <w:lvlText w:val="%7."/>
      <w:lvlJc w:val="left"/>
      <w:pPr>
        <w:tabs>
          <w:tab w:val="num" w:pos="5040"/>
        </w:tabs>
        <w:ind w:left="5040" w:hanging="360"/>
      </w:pPr>
    </w:lvl>
    <w:lvl w:ilvl="7" w:tplc="BA143AFE" w:tentative="1">
      <w:start w:val="1"/>
      <w:numFmt w:val="lowerLetter"/>
      <w:lvlText w:val="%8."/>
      <w:lvlJc w:val="left"/>
      <w:pPr>
        <w:tabs>
          <w:tab w:val="num" w:pos="5760"/>
        </w:tabs>
        <w:ind w:left="5760" w:hanging="360"/>
      </w:pPr>
    </w:lvl>
    <w:lvl w:ilvl="8" w:tplc="8F5A0742" w:tentative="1">
      <w:start w:val="1"/>
      <w:numFmt w:val="lowerRoman"/>
      <w:lvlText w:val="%9."/>
      <w:lvlJc w:val="right"/>
      <w:pPr>
        <w:tabs>
          <w:tab w:val="num" w:pos="6480"/>
        </w:tabs>
        <w:ind w:left="6480" w:hanging="180"/>
      </w:pPr>
    </w:lvl>
  </w:abstractNum>
  <w:abstractNum w:abstractNumId="27" w15:restartNumberingAfterBreak="0">
    <w:nsid w:val="7D5A3FFC"/>
    <w:multiLevelType w:val="hybridMultilevel"/>
    <w:tmpl w:val="83281570"/>
    <w:lvl w:ilvl="0" w:tplc="264456A8">
      <w:start w:val="1"/>
      <w:numFmt w:val="bullet"/>
      <w:pStyle w:val="bullet2"/>
      <w:lvlText w:val=""/>
      <w:lvlJc w:val="left"/>
      <w:pPr>
        <w:tabs>
          <w:tab w:val="num" w:pos="1134"/>
        </w:tabs>
        <w:ind w:left="1134" w:hanging="567"/>
      </w:pPr>
      <w:rPr>
        <w:rFonts w:ascii="Symbol" w:hAnsi="Symbol" w:hint="default"/>
        <w:i w:val="0"/>
        <w:color w:val="auto"/>
        <w:sz w:val="22"/>
        <w:szCs w:val="24"/>
      </w:rPr>
    </w:lvl>
    <w:lvl w:ilvl="1" w:tplc="D96EEF4A" w:tentative="1">
      <w:start w:val="1"/>
      <w:numFmt w:val="bullet"/>
      <w:lvlText w:val="o"/>
      <w:lvlJc w:val="left"/>
      <w:pPr>
        <w:tabs>
          <w:tab w:val="num" w:pos="1440"/>
        </w:tabs>
        <w:ind w:left="1440" w:hanging="360"/>
      </w:pPr>
      <w:rPr>
        <w:rFonts w:ascii="Courier New" w:hAnsi="Courier New" w:cs="Courier New" w:hint="default"/>
      </w:rPr>
    </w:lvl>
    <w:lvl w:ilvl="2" w:tplc="75FA61B8" w:tentative="1">
      <w:start w:val="1"/>
      <w:numFmt w:val="bullet"/>
      <w:lvlText w:val=""/>
      <w:lvlJc w:val="left"/>
      <w:pPr>
        <w:tabs>
          <w:tab w:val="num" w:pos="2160"/>
        </w:tabs>
        <w:ind w:left="2160" w:hanging="360"/>
      </w:pPr>
      <w:rPr>
        <w:rFonts w:ascii="Wingdings" w:hAnsi="Wingdings" w:hint="default"/>
      </w:rPr>
    </w:lvl>
    <w:lvl w:ilvl="3" w:tplc="25F8213E" w:tentative="1">
      <w:start w:val="1"/>
      <w:numFmt w:val="bullet"/>
      <w:lvlText w:val=""/>
      <w:lvlJc w:val="left"/>
      <w:pPr>
        <w:tabs>
          <w:tab w:val="num" w:pos="2880"/>
        </w:tabs>
        <w:ind w:left="2880" w:hanging="360"/>
      </w:pPr>
      <w:rPr>
        <w:rFonts w:ascii="Symbol" w:hAnsi="Symbol" w:hint="default"/>
      </w:rPr>
    </w:lvl>
    <w:lvl w:ilvl="4" w:tplc="D0A6156C" w:tentative="1">
      <w:start w:val="1"/>
      <w:numFmt w:val="bullet"/>
      <w:lvlText w:val="o"/>
      <w:lvlJc w:val="left"/>
      <w:pPr>
        <w:tabs>
          <w:tab w:val="num" w:pos="3600"/>
        </w:tabs>
        <w:ind w:left="3600" w:hanging="360"/>
      </w:pPr>
      <w:rPr>
        <w:rFonts w:ascii="Courier New" w:hAnsi="Courier New" w:cs="Courier New" w:hint="default"/>
      </w:rPr>
    </w:lvl>
    <w:lvl w:ilvl="5" w:tplc="46A472F6" w:tentative="1">
      <w:start w:val="1"/>
      <w:numFmt w:val="bullet"/>
      <w:lvlText w:val=""/>
      <w:lvlJc w:val="left"/>
      <w:pPr>
        <w:tabs>
          <w:tab w:val="num" w:pos="4320"/>
        </w:tabs>
        <w:ind w:left="4320" w:hanging="360"/>
      </w:pPr>
      <w:rPr>
        <w:rFonts w:ascii="Wingdings" w:hAnsi="Wingdings" w:hint="default"/>
      </w:rPr>
    </w:lvl>
    <w:lvl w:ilvl="6" w:tplc="DC58BBA2" w:tentative="1">
      <w:start w:val="1"/>
      <w:numFmt w:val="bullet"/>
      <w:lvlText w:val=""/>
      <w:lvlJc w:val="left"/>
      <w:pPr>
        <w:tabs>
          <w:tab w:val="num" w:pos="5040"/>
        </w:tabs>
        <w:ind w:left="5040" w:hanging="360"/>
      </w:pPr>
      <w:rPr>
        <w:rFonts w:ascii="Symbol" w:hAnsi="Symbol" w:hint="default"/>
      </w:rPr>
    </w:lvl>
    <w:lvl w:ilvl="7" w:tplc="C254BB52" w:tentative="1">
      <w:start w:val="1"/>
      <w:numFmt w:val="bullet"/>
      <w:lvlText w:val="o"/>
      <w:lvlJc w:val="left"/>
      <w:pPr>
        <w:tabs>
          <w:tab w:val="num" w:pos="5760"/>
        </w:tabs>
        <w:ind w:left="5760" w:hanging="360"/>
      </w:pPr>
      <w:rPr>
        <w:rFonts w:ascii="Courier New" w:hAnsi="Courier New" w:cs="Courier New" w:hint="default"/>
      </w:rPr>
    </w:lvl>
    <w:lvl w:ilvl="8" w:tplc="D9029F5E" w:tentative="1">
      <w:start w:val="1"/>
      <w:numFmt w:val="bullet"/>
      <w:lvlText w:val=""/>
      <w:lvlJc w:val="left"/>
      <w:pPr>
        <w:tabs>
          <w:tab w:val="num" w:pos="6480"/>
        </w:tabs>
        <w:ind w:left="6480" w:hanging="360"/>
      </w:pPr>
      <w:rPr>
        <w:rFonts w:ascii="Wingdings" w:hAnsi="Wingdings" w:hint="default"/>
      </w:rPr>
    </w:lvl>
  </w:abstractNum>
  <w:num w:numId="1" w16cid:durableId="615596891">
    <w:abstractNumId w:val="16"/>
  </w:num>
  <w:num w:numId="2" w16cid:durableId="1675569271">
    <w:abstractNumId w:val="27"/>
  </w:num>
  <w:num w:numId="3" w16cid:durableId="631136371">
    <w:abstractNumId w:val="10"/>
  </w:num>
  <w:num w:numId="4" w16cid:durableId="920329543">
    <w:abstractNumId w:val="18"/>
  </w:num>
  <w:num w:numId="5" w16cid:durableId="1688944068">
    <w:abstractNumId w:val="26"/>
  </w:num>
  <w:num w:numId="6" w16cid:durableId="1769425990">
    <w:abstractNumId w:val="22"/>
  </w:num>
  <w:num w:numId="7" w16cid:durableId="1952587022">
    <w:abstractNumId w:val="2"/>
  </w:num>
  <w:num w:numId="8" w16cid:durableId="31879993">
    <w:abstractNumId w:val="1"/>
  </w:num>
  <w:num w:numId="9" w16cid:durableId="622342428">
    <w:abstractNumId w:val="11"/>
  </w:num>
  <w:num w:numId="10" w16cid:durableId="929046513">
    <w:abstractNumId w:val="24"/>
  </w:num>
  <w:num w:numId="11" w16cid:durableId="1439368988">
    <w:abstractNumId w:val="14"/>
  </w:num>
  <w:num w:numId="12" w16cid:durableId="1892186342">
    <w:abstractNumId w:val="13"/>
  </w:num>
  <w:num w:numId="13" w16cid:durableId="249968793">
    <w:abstractNumId w:val="23"/>
  </w:num>
  <w:num w:numId="14" w16cid:durableId="700320426">
    <w:abstractNumId w:val="12"/>
  </w:num>
  <w:num w:numId="15" w16cid:durableId="373431361">
    <w:abstractNumId w:val="25"/>
  </w:num>
  <w:num w:numId="16" w16cid:durableId="2108496119">
    <w:abstractNumId w:val="8"/>
  </w:num>
  <w:num w:numId="17" w16cid:durableId="2082435815">
    <w:abstractNumId w:val="7"/>
  </w:num>
  <w:num w:numId="18" w16cid:durableId="46153329">
    <w:abstractNumId w:val="6"/>
  </w:num>
  <w:num w:numId="19" w16cid:durableId="1777168880">
    <w:abstractNumId w:val="5"/>
  </w:num>
  <w:num w:numId="20" w16cid:durableId="330522042">
    <w:abstractNumId w:val="4"/>
  </w:num>
  <w:num w:numId="21" w16cid:durableId="1197237154">
    <w:abstractNumId w:val="3"/>
  </w:num>
  <w:num w:numId="22" w16cid:durableId="1738477136">
    <w:abstractNumId w:val="0"/>
  </w:num>
  <w:num w:numId="23" w16cid:durableId="947856905">
    <w:abstractNumId w:val="21"/>
  </w:num>
  <w:num w:numId="24" w16cid:durableId="1176579763">
    <w:abstractNumId w:val="17"/>
  </w:num>
  <w:num w:numId="25" w16cid:durableId="2033800791">
    <w:abstractNumId w:val="15"/>
  </w:num>
  <w:num w:numId="26" w16cid:durableId="925772115">
    <w:abstractNumId w:val="9"/>
  </w:num>
  <w:num w:numId="27" w16cid:durableId="807744169">
    <w:abstractNumId w:val="19"/>
  </w:num>
  <w:num w:numId="28" w16cid:durableId="4643955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357"/>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58"/>
    <w:rsid w:val="000053D4"/>
    <w:rsid w:val="00012C81"/>
    <w:rsid w:val="00012D4A"/>
    <w:rsid w:val="000135BF"/>
    <w:rsid w:val="00013E12"/>
    <w:rsid w:val="00014701"/>
    <w:rsid w:val="00014954"/>
    <w:rsid w:val="00021E6A"/>
    <w:rsid w:val="000224AF"/>
    <w:rsid w:val="00023FE7"/>
    <w:rsid w:val="00025226"/>
    <w:rsid w:val="00025783"/>
    <w:rsid w:val="000271EE"/>
    <w:rsid w:val="00030307"/>
    <w:rsid w:val="0004131A"/>
    <w:rsid w:val="00055148"/>
    <w:rsid w:val="00055788"/>
    <w:rsid w:val="00063FFA"/>
    <w:rsid w:val="000653A4"/>
    <w:rsid w:val="0007025C"/>
    <w:rsid w:val="00074FDE"/>
    <w:rsid w:val="00075B76"/>
    <w:rsid w:val="00083CC5"/>
    <w:rsid w:val="00086266"/>
    <w:rsid w:val="000923AB"/>
    <w:rsid w:val="00095DA4"/>
    <w:rsid w:val="000A3698"/>
    <w:rsid w:val="000A474F"/>
    <w:rsid w:val="000A564A"/>
    <w:rsid w:val="000A6292"/>
    <w:rsid w:val="000A64AE"/>
    <w:rsid w:val="000B2739"/>
    <w:rsid w:val="000B47E9"/>
    <w:rsid w:val="000C0E04"/>
    <w:rsid w:val="000D31C1"/>
    <w:rsid w:val="000D5A84"/>
    <w:rsid w:val="000D79AA"/>
    <w:rsid w:val="000E1770"/>
    <w:rsid w:val="000E185C"/>
    <w:rsid w:val="000E4F43"/>
    <w:rsid w:val="000E7D2C"/>
    <w:rsid w:val="000F2789"/>
    <w:rsid w:val="000F6CFA"/>
    <w:rsid w:val="000F6FF5"/>
    <w:rsid w:val="000F7B30"/>
    <w:rsid w:val="0010326A"/>
    <w:rsid w:val="00105B59"/>
    <w:rsid w:val="0010617D"/>
    <w:rsid w:val="001114E2"/>
    <w:rsid w:val="001126AE"/>
    <w:rsid w:val="00115472"/>
    <w:rsid w:val="00116FB7"/>
    <w:rsid w:val="0012056E"/>
    <w:rsid w:val="00121449"/>
    <w:rsid w:val="001259A2"/>
    <w:rsid w:val="001270AD"/>
    <w:rsid w:val="00133B1F"/>
    <w:rsid w:val="00134A98"/>
    <w:rsid w:val="00135364"/>
    <w:rsid w:val="001370C2"/>
    <w:rsid w:val="00137D95"/>
    <w:rsid w:val="00146F79"/>
    <w:rsid w:val="001477CA"/>
    <w:rsid w:val="001523C7"/>
    <w:rsid w:val="00154DC5"/>
    <w:rsid w:val="00155789"/>
    <w:rsid w:val="001565B4"/>
    <w:rsid w:val="00157705"/>
    <w:rsid w:val="00162668"/>
    <w:rsid w:val="00162A83"/>
    <w:rsid w:val="0016487E"/>
    <w:rsid w:val="001650C6"/>
    <w:rsid w:val="001664C2"/>
    <w:rsid w:val="001678C4"/>
    <w:rsid w:val="001702A3"/>
    <w:rsid w:val="00180F78"/>
    <w:rsid w:val="00184D58"/>
    <w:rsid w:val="00187549"/>
    <w:rsid w:val="00191ACB"/>
    <w:rsid w:val="00191B8C"/>
    <w:rsid w:val="0019248B"/>
    <w:rsid w:val="00192937"/>
    <w:rsid w:val="0019318E"/>
    <w:rsid w:val="00194F66"/>
    <w:rsid w:val="00196061"/>
    <w:rsid w:val="001A1461"/>
    <w:rsid w:val="001A2A28"/>
    <w:rsid w:val="001A2DCC"/>
    <w:rsid w:val="001A3B9E"/>
    <w:rsid w:val="001A568B"/>
    <w:rsid w:val="001A64B1"/>
    <w:rsid w:val="001A7868"/>
    <w:rsid w:val="001B018F"/>
    <w:rsid w:val="001B1021"/>
    <w:rsid w:val="001B3379"/>
    <w:rsid w:val="001C115D"/>
    <w:rsid w:val="001C27CF"/>
    <w:rsid w:val="001C3FE2"/>
    <w:rsid w:val="001C5783"/>
    <w:rsid w:val="001C6876"/>
    <w:rsid w:val="001C6ECC"/>
    <w:rsid w:val="001D129A"/>
    <w:rsid w:val="001D2774"/>
    <w:rsid w:val="001D2EEF"/>
    <w:rsid w:val="001D410F"/>
    <w:rsid w:val="001D5CE8"/>
    <w:rsid w:val="001D5D86"/>
    <w:rsid w:val="001E205C"/>
    <w:rsid w:val="001E2102"/>
    <w:rsid w:val="001E369F"/>
    <w:rsid w:val="001F0B09"/>
    <w:rsid w:val="001F4788"/>
    <w:rsid w:val="001F4F1B"/>
    <w:rsid w:val="001F4FCB"/>
    <w:rsid w:val="001F5B9B"/>
    <w:rsid w:val="001F6659"/>
    <w:rsid w:val="002024E3"/>
    <w:rsid w:val="00202726"/>
    <w:rsid w:val="0020685B"/>
    <w:rsid w:val="002104BD"/>
    <w:rsid w:val="0021313F"/>
    <w:rsid w:val="002145D0"/>
    <w:rsid w:val="00214794"/>
    <w:rsid w:val="00225DB1"/>
    <w:rsid w:val="00230C19"/>
    <w:rsid w:val="00235905"/>
    <w:rsid w:val="00236559"/>
    <w:rsid w:val="00236BF9"/>
    <w:rsid w:val="002416FF"/>
    <w:rsid w:val="00243F19"/>
    <w:rsid w:val="0024419F"/>
    <w:rsid w:val="002444F8"/>
    <w:rsid w:val="00245379"/>
    <w:rsid w:val="0024552B"/>
    <w:rsid w:val="002455D7"/>
    <w:rsid w:val="00247932"/>
    <w:rsid w:val="00251ED2"/>
    <w:rsid w:val="002533D0"/>
    <w:rsid w:val="002539EC"/>
    <w:rsid w:val="00256055"/>
    <w:rsid w:val="002571E4"/>
    <w:rsid w:val="002613FB"/>
    <w:rsid w:val="00266877"/>
    <w:rsid w:val="0028005B"/>
    <w:rsid w:val="00284146"/>
    <w:rsid w:val="002853BC"/>
    <w:rsid w:val="002865DD"/>
    <w:rsid w:val="00294306"/>
    <w:rsid w:val="00294840"/>
    <w:rsid w:val="00294F96"/>
    <w:rsid w:val="002969FD"/>
    <w:rsid w:val="00297F80"/>
    <w:rsid w:val="002A1CEC"/>
    <w:rsid w:val="002A54A5"/>
    <w:rsid w:val="002A54B4"/>
    <w:rsid w:val="002A7E9A"/>
    <w:rsid w:val="002B1467"/>
    <w:rsid w:val="002C2524"/>
    <w:rsid w:val="002C315C"/>
    <w:rsid w:val="002C3251"/>
    <w:rsid w:val="002C523D"/>
    <w:rsid w:val="002C55FB"/>
    <w:rsid w:val="002C6B07"/>
    <w:rsid w:val="002C7867"/>
    <w:rsid w:val="002D574B"/>
    <w:rsid w:val="002D5CC0"/>
    <w:rsid w:val="002D7C56"/>
    <w:rsid w:val="002E3907"/>
    <w:rsid w:val="002F23DC"/>
    <w:rsid w:val="002F3C1D"/>
    <w:rsid w:val="002F4099"/>
    <w:rsid w:val="002F6582"/>
    <w:rsid w:val="00304955"/>
    <w:rsid w:val="00305034"/>
    <w:rsid w:val="00306313"/>
    <w:rsid w:val="00307DBA"/>
    <w:rsid w:val="0031094C"/>
    <w:rsid w:val="00313B68"/>
    <w:rsid w:val="0032165F"/>
    <w:rsid w:val="00324B24"/>
    <w:rsid w:val="00326DA3"/>
    <w:rsid w:val="00326E26"/>
    <w:rsid w:val="00330845"/>
    <w:rsid w:val="003324BF"/>
    <w:rsid w:val="00334689"/>
    <w:rsid w:val="00337028"/>
    <w:rsid w:val="003370AE"/>
    <w:rsid w:val="00337603"/>
    <w:rsid w:val="00337B22"/>
    <w:rsid w:val="00345ED4"/>
    <w:rsid w:val="00351005"/>
    <w:rsid w:val="0035399E"/>
    <w:rsid w:val="003544B4"/>
    <w:rsid w:val="0035602D"/>
    <w:rsid w:val="00356F06"/>
    <w:rsid w:val="00360A70"/>
    <w:rsid w:val="00362D62"/>
    <w:rsid w:val="00365FA4"/>
    <w:rsid w:val="00373EA9"/>
    <w:rsid w:val="00380641"/>
    <w:rsid w:val="00381C39"/>
    <w:rsid w:val="00383064"/>
    <w:rsid w:val="003844CA"/>
    <w:rsid w:val="00384593"/>
    <w:rsid w:val="003846FE"/>
    <w:rsid w:val="0038664D"/>
    <w:rsid w:val="00390001"/>
    <w:rsid w:val="00393169"/>
    <w:rsid w:val="00396CAB"/>
    <w:rsid w:val="003A0834"/>
    <w:rsid w:val="003A39B1"/>
    <w:rsid w:val="003A39CA"/>
    <w:rsid w:val="003A5261"/>
    <w:rsid w:val="003A6BD2"/>
    <w:rsid w:val="003C0824"/>
    <w:rsid w:val="003C1389"/>
    <w:rsid w:val="003C5172"/>
    <w:rsid w:val="003C7631"/>
    <w:rsid w:val="003D0CDA"/>
    <w:rsid w:val="003D1171"/>
    <w:rsid w:val="003D6404"/>
    <w:rsid w:val="003E470E"/>
    <w:rsid w:val="003F1C6F"/>
    <w:rsid w:val="003F74C4"/>
    <w:rsid w:val="00403BA6"/>
    <w:rsid w:val="00406548"/>
    <w:rsid w:val="0042193F"/>
    <w:rsid w:val="004221A2"/>
    <w:rsid w:val="004250F1"/>
    <w:rsid w:val="0042661B"/>
    <w:rsid w:val="00427D8A"/>
    <w:rsid w:val="00435274"/>
    <w:rsid w:val="00440E65"/>
    <w:rsid w:val="00443232"/>
    <w:rsid w:val="004514AC"/>
    <w:rsid w:val="00451782"/>
    <w:rsid w:val="00452902"/>
    <w:rsid w:val="00460FE7"/>
    <w:rsid w:val="00462250"/>
    <w:rsid w:val="004633B8"/>
    <w:rsid w:val="0046493F"/>
    <w:rsid w:val="00466AD0"/>
    <w:rsid w:val="0047136E"/>
    <w:rsid w:val="004713DA"/>
    <w:rsid w:val="0047517C"/>
    <w:rsid w:val="0047666B"/>
    <w:rsid w:val="0049184E"/>
    <w:rsid w:val="00491A29"/>
    <w:rsid w:val="00491FFB"/>
    <w:rsid w:val="00496018"/>
    <w:rsid w:val="0049639F"/>
    <w:rsid w:val="004A1365"/>
    <w:rsid w:val="004A1B68"/>
    <w:rsid w:val="004A456E"/>
    <w:rsid w:val="004A4924"/>
    <w:rsid w:val="004A4F21"/>
    <w:rsid w:val="004B1493"/>
    <w:rsid w:val="004C69B8"/>
    <w:rsid w:val="004C7059"/>
    <w:rsid w:val="004D229B"/>
    <w:rsid w:val="004D5CBB"/>
    <w:rsid w:val="004E2BD4"/>
    <w:rsid w:val="004F26D8"/>
    <w:rsid w:val="004F3B8C"/>
    <w:rsid w:val="004F3CA8"/>
    <w:rsid w:val="004F52ED"/>
    <w:rsid w:val="004F53BD"/>
    <w:rsid w:val="004F6FA1"/>
    <w:rsid w:val="00500815"/>
    <w:rsid w:val="00500D83"/>
    <w:rsid w:val="00502753"/>
    <w:rsid w:val="00503571"/>
    <w:rsid w:val="0050419B"/>
    <w:rsid w:val="00504B92"/>
    <w:rsid w:val="00507310"/>
    <w:rsid w:val="00507D7F"/>
    <w:rsid w:val="00512BA8"/>
    <w:rsid w:val="00514758"/>
    <w:rsid w:val="00515643"/>
    <w:rsid w:val="005242B2"/>
    <w:rsid w:val="00524341"/>
    <w:rsid w:val="00524EDC"/>
    <w:rsid w:val="005259EE"/>
    <w:rsid w:val="00526989"/>
    <w:rsid w:val="00526C99"/>
    <w:rsid w:val="00532754"/>
    <w:rsid w:val="00532B49"/>
    <w:rsid w:val="00536372"/>
    <w:rsid w:val="00541557"/>
    <w:rsid w:val="00543465"/>
    <w:rsid w:val="00546C6C"/>
    <w:rsid w:val="00547451"/>
    <w:rsid w:val="00547857"/>
    <w:rsid w:val="005504D8"/>
    <w:rsid w:val="00553360"/>
    <w:rsid w:val="00553479"/>
    <w:rsid w:val="00555AAE"/>
    <w:rsid w:val="0055654F"/>
    <w:rsid w:val="00556C0D"/>
    <w:rsid w:val="00556DCE"/>
    <w:rsid w:val="005626DE"/>
    <w:rsid w:val="00566588"/>
    <w:rsid w:val="00567755"/>
    <w:rsid w:val="005735F0"/>
    <w:rsid w:val="00577CDA"/>
    <w:rsid w:val="00582432"/>
    <w:rsid w:val="00586C54"/>
    <w:rsid w:val="005879A9"/>
    <w:rsid w:val="005904A6"/>
    <w:rsid w:val="00593E92"/>
    <w:rsid w:val="00596B08"/>
    <w:rsid w:val="005A426A"/>
    <w:rsid w:val="005A48C4"/>
    <w:rsid w:val="005A5B20"/>
    <w:rsid w:val="005B10D5"/>
    <w:rsid w:val="005B1754"/>
    <w:rsid w:val="005B5B96"/>
    <w:rsid w:val="005B5D34"/>
    <w:rsid w:val="005B5E75"/>
    <w:rsid w:val="005B79F4"/>
    <w:rsid w:val="005C0B8B"/>
    <w:rsid w:val="005C3F06"/>
    <w:rsid w:val="005C48DA"/>
    <w:rsid w:val="005D2764"/>
    <w:rsid w:val="005D3EC2"/>
    <w:rsid w:val="005D466A"/>
    <w:rsid w:val="005D5EFD"/>
    <w:rsid w:val="005E007D"/>
    <w:rsid w:val="005E0613"/>
    <w:rsid w:val="005E148E"/>
    <w:rsid w:val="005E260F"/>
    <w:rsid w:val="005E2DE1"/>
    <w:rsid w:val="005E55DD"/>
    <w:rsid w:val="005E58D5"/>
    <w:rsid w:val="005E644C"/>
    <w:rsid w:val="005F2547"/>
    <w:rsid w:val="005F2BC9"/>
    <w:rsid w:val="005F3E5A"/>
    <w:rsid w:val="005F4B73"/>
    <w:rsid w:val="005F57E7"/>
    <w:rsid w:val="005F6C04"/>
    <w:rsid w:val="00604888"/>
    <w:rsid w:val="00610492"/>
    <w:rsid w:val="00614039"/>
    <w:rsid w:val="0061648F"/>
    <w:rsid w:val="006210F2"/>
    <w:rsid w:val="00621BD3"/>
    <w:rsid w:val="006236E7"/>
    <w:rsid w:val="00623781"/>
    <w:rsid w:val="00633A48"/>
    <w:rsid w:val="00633C32"/>
    <w:rsid w:val="00634E20"/>
    <w:rsid w:val="00635254"/>
    <w:rsid w:val="00635859"/>
    <w:rsid w:val="00635EC3"/>
    <w:rsid w:val="0063629F"/>
    <w:rsid w:val="006438EB"/>
    <w:rsid w:val="00645CB8"/>
    <w:rsid w:val="00645D27"/>
    <w:rsid w:val="00650E5A"/>
    <w:rsid w:val="00656309"/>
    <w:rsid w:val="0065693A"/>
    <w:rsid w:val="00656CA9"/>
    <w:rsid w:val="00660083"/>
    <w:rsid w:val="006616BE"/>
    <w:rsid w:val="00661C3F"/>
    <w:rsid w:val="0066425D"/>
    <w:rsid w:val="00664799"/>
    <w:rsid w:val="0066610A"/>
    <w:rsid w:val="0067340D"/>
    <w:rsid w:val="006734AB"/>
    <w:rsid w:val="0067437D"/>
    <w:rsid w:val="00677361"/>
    <w:rsid w:val="00680430"/>
    <w:rsid w:val="00680518"/>
    <w:rsid w:val="006840F3"/>
    <w:rsid w:val="00685FE2"/>
    <w:rsid w:val="0068631A"/>
    <w:rsid w:val="00690632"/>
    <w:rsid w:val="00693A18"/>
    <w:rsid w:val="00694FFA"/>
    <w:rsid w:val="006976F9"/>
    <w:rsid w:val="006A1092"/>
    <w:rsid w:val="006A1C07"/>
    <w:rsid w:val="006A2161"/>
    <w:rsid w:val="006A39A5"/>
    <w:rsid w:val="006A56ED"/>
    <w:rsid w:val="006B0C9D"/>
    <w:rsid w:val="006B4E4D"/>
    <w:rsid w:val="006B52CA"/>
    <w:rsid w:val="006B66C1"/>
    <w:rsid w:val="006C1CC7"/>
    <w:rsid w:val="006C1F2B"/>
    <w:rsid w:val="006C39F5"/>
    <w:rsid w:val="006C42E3"/>
    <w:rsid w:val="006C4A92"/>
    <w:rsid w:val="006C5CB2"/>
    <w:rsid w:val="006D155E"/>
    <w:rsid w:val="006D399E"/>
    <w:rsid w:val="006D49A4"/>
    <w:rsid w:val="006D71A3"/>
    <w:rsid w:val="006E3843"/>
    <w:rsid w:val="006E41F4"/>
    <w:rsid w:val="006E5FD5"/>
    <w:rsid w:val="006E6E08"/>
    <w:rsid w:val="006E6F14"/>
    <w:rsid w:val="006F04E8"/>
    <w:rsid w:val="006F75B5"/>
    <w:rsid w:val="007007F9"/>
    <w:rsid w:val="007020D5"/>
    <w:rsid w:val="007039D5"/>
    <w:rsid w:val="0070673A"/>
    <w:rsid w:val="00707A31"/>
    <w:rsid w:val="00717EF0"/>
    <w:rsid w:val="00722789"/>
    <w:rsid w:val="00723FEC"/>
    <w:rsid w:val="007241A1"/>
    <w:rsid w:val="0072555E"/>
    <w:rsid w:val="007309A2"/>
    <w:rsid w:val="007352F2"/>
    <w:rsid w:val="00735538"/>
    <w:rsid w:val="00740A0E"/>
    <w:rsid w:val="007431BA"/>
    <w:rsid w:val="00747BC9"/>
    <w:rsid w:val="00752192"/>
    <w:rsid w:val="00752A98"/>
    <w:rsid w:val="00752CC4"/>
    <w:rsid w:val="00753326"/>
    <w:rsid w:val="00753F97"/>
    <w:rsid w:val="007557DF"/>
    <w:rsid w:val="00756205"/>
    <w:rsid w:val="00757BA3"/>
    <w:rsid w:val="00761BA4"/>
    <w:rsid w:val="00762CCB"/>
    <w:rsid w:val="00765CB8"/>
    <w:rsid w:val="00774829"/>
    <w:rsid w:val="007769FA"/>
    <w:rsid w:val="007803E9"/>
    <w:rsid w:val="00785A50"/>
    <w:rsid w:val="00791FDB"/>
    <w:rsid w:val="00795B6A"/>
    <w:rsid w:val="00795C97"/>
    <w:rsid w:val="00797116"/>
    <w:rsid w:val="007A34F0"/>
    <w:rsid w:val="007A3695"/>
    <w:rsid w:val="007A5973"/>
    <w:rsid w:val="007A6FA4"/>
    <w:rsid w:val="007A7F19"/>
    <w:rsid w:val="007B095D"/>
    <w:rsid w:val="007B3291"/>
    <w:rsid w:val="007B48CA"/>
    <w:rsid w:val="007B7180"/>
    <w:rsid w:val="007C088E"/>
    <w:rsid w:val="007C2BC7"/>
    <w:rsid w:val="007C4EF1"/>
    <w:rsid w:val="007C5E4D"/>
    <w:rsid w:val="007C6CBB"/>
    <w:rsid w:val="007C76CC"/>
    <w:rsid w:val="007D1BAC"/>
    <w:rsid w:val="007D2D2B"/>
    <w:rsid w:val="007D3DF5"/>
    <w:rsid w:val="007D4DAA"/>
    <w:rsid w:val="007D63C2"/>
    <w:rsid w:val="007D7FC9"/>
    <w:rsid w:val="007E263D"/>
    <w:rsid w:val="007E36EB"/>
    <w:rsid w:val="007E41BB"/>
    <w:rsid w:val="007E531A"/>
    <w:rsid w:val="007E7A97"/>
    <w:rsid w:val="007F0C4E"/>
    <w:rsid w:val="007F10C8"/>
    <w:rsid w:val="007F19B7"/>
    <w:rsid w:val="007F25A7"/>
    <w:rsid w:val="007F26A4"/>
    <w:rsid w:val="007F7334"/>
    <w:rsid w:val="008040D5"/>
    <w:rsid w:val="00805CBA"/>
    <w:rsid w:val="00810046"/>
    <w:rsid w:val="0081243C"/>
    <w:rsid w:val="008126E1"/>
    <w:rsid w:val="00813B12"/>
    <w:rsid w:val="00815155"/>
    <w:rsid w:val="00823B55"/>
    <w:rsid w:val="00823DB8"/>
    <w:rsid w:val="00824E68"/>
    <w:rsid w:val="008266DD"/>
    <w:rsid w:val="00827196"/>
    <w:rsid w:val="0083215E"/>
    <w:rsid w:val="00832B7A"/>
    <w:rsid w:val="00832E99"/>
    <w:rsid w:val="00833A17"/>
    <w:rsid w:val="0084030B"/>
    <w:rsid w:val="0084423F"/>
    <w:rsid w:val="008446B6"/>
    <w:rsid w:val="00847C45"/>
    <w:rsid w:val="00850A0D"/>
    <w:rsid w:val="008527DC"/>
    <w:rsid w:val="00856321"/>
    <w:rsid w:val="008604F9"/>
    <w:rsid w:val="00861672"/>
    <w:rsid w:val="00864E99"/>
    <w:rsid w:val="00871405"/>
    <w:rsid w:val="0087671C"/>
    <w:rsid w:val="00876AB4"/>
    <w:rsid w:val="00884914"/>
    <w:rsid w:val="00885569"/>
    <w:rsid w:val="00892320"/>
    <w:rsid w:val="00894547"/>
    <w:rsid w:val="008A04E6"/>
    <w:rsid w:val="008A3106"/>
    <w:rsid w:val="008A7962"/>
    <w:rsid w:val="008B021F"/>
    <w:rsid w:val="008B21DC"/>
    <w:rsid w:val="008B328A"/>
    <w:rsid w:val="008B450A"/>
    <w:rsid w:val="008B5708"/>
    <w:rsid w:val="008B6F1A"/>
    <w:rsid w:val="008C2B52"/>
    <w:rsid w:val="008C474E"/>
    <w:rsid w:val="008D173C"/>
    <w:rsid w:val="008D2686"/>
    <w:rsid w:val="008D2FBE"/>
    <w:rsid w:val="008E037B"/>
    <w:rsid w:val="008E588E"/>
    <w:rsid w:val="008E70A4"/>
    <w:rsid w:val="008F2407"/>
    <w:rsid w:val="008F6BC3"/>
    <w:rsid w:val="009021F0"/>
    <w:rsid w:val="00903349"/>
    <w:rsid w:val="00903847"/>
    <w:rsid w:val="00904122"/>
    <w:rsid w:val="00904D82"/>
    <w:rsid w:val="00905A63"/>
    <w:rsid w:val="0090719D"/>
    <w:rsid w:val="00911F65"/>
    <w:rsid w:val="0091205A"/>
    <w:rsid w:val="0091317E"/>
    <w:rsid w:val="00913DB6"/>
    <w:rsid w:val="009161CB"/>
    <w:rsid w:val="00920864"/>
    <w:rsid w:val="00930F27"/>
    <w:rsid w:val="00932150"/>
    <w:rsid w:val="009437DB"/>
    <w:rsid w:val="00943A1A"/>
    <w:rsid w:val="0094420E"/>
    <w:rsid w:val="00944C97"/>
    <w:rsid w:val="00946142"/>
    <w:rsid w:val="00952919"/>
    <w:rsid w:val="00952C0C"/>
    <w:rsid w:val="0096369D"/>
    <w:rsid w:val="00970B17"/>
    <w:rsid w:val="00971762"/>
    <w:rsid w:val="00971B27"/>
    <w:rsid w:val="00975649"/>
    <w:rsid w:val="00976E62"/>
    <w:rsid w:val="00977D25"/>
    <w:rsid w:val="00980436"/>
    <w:rsid w:val="009817E7"/>
    <w:rsid w:val="00982B4C"/>
    <w:rsid w:val="00984856"/>
    <w:rsid w:val="00985D5D"/>
    <w:rsid w:val="009861B6"/>
    <w:rsid w:val="00991F44"/>
    <w:rsid w:val="009920DC"/>
    <w:rsid w:val="0099483C"/>
    <w:rsid w:val="00997B20"/>
    <w:rsid w:val="009A5BC1"/>
    <w:rsid w:val="009B0375"/>
    <w:rsid w:val="009B317C"/>
    <w:rsid w:val="009B3D36"/>
    <w:rsid w:val="009C0D38"/>
    <w:rsid w:val="009C40A8"/>
    <w:rsid w:val="009C4391"/>
    <w:rsid w:val="009C4A63"/>
    <w:rsid w:val="009C4C85"/>
    <w:rsid w:val="009C7F23"/>
    <w:rsid w:val="009D2958"/>
    <w:rsid w:val="009D50F8"/>
    <w:rsid w:val="009E1027"/>
    <w:rsid w:val="009E7943"/>
    <w:rsid w:val="009F03C0"/>
    <w:rsid w:val="009F177F"/>
    <w:rsid w:val="009F5A09"/>
    <w:rsid w:val="009F6DE7"/>
    <w:rsid w:val="009F7B03"/>
    <w:rsid w:val="00A010DD"/>
    <w:rsid w:val="00A01DAB"/>
    <w:rsid w:val="00A02015"/>
    <w:rsid w:val="00A036FF"/>
    <w:rsid w:val="00A05432"/>
    <w:rsid w:val="00A06032"/>
    <w:rsid w:val="00A10D78"/>
    <w:rsid w:val="00A13233"/>
    <w:rsid w:val="00A13D77"/>
    <w:rsid w:val="00A21210"/>
    <w:rsid w:val="00A24B69"/>
    <w:rsid w:val="00A26049"/>
    <w:rsid w:val="00A326E0"/>
    <w:rsid w:val="00A32A0F"/>
    <w:rsid w:val="00A35DEB"/>
    <w:rsid w:val="00A4219A"/>
    <w:rsid w:val="00A4252C"/>
    <w:rsid w:val="00A42A9A"/>
    <w:rsid w:val="00A43DE5"/>
    <w:rsid w:val="00A455FD"/>
    <w:rsid w:val="00A45C90"/>
    <w:rsid w:val="00A5769F"/>
    <w:rsid w:val="00A602FC"/>
    <w:rsid w:val="00A66276"/>
    <w:rsid w:val="00A6630E"/>
    <w:rsid w:val="00A67336"/>
    <w:rsid w:val="00A74CCB"/>
    <w:rsid w:val="00A74DD1"/>
    <w:rsid w:val="00A777CA"/>
    <w:rsid w:val="00A77F17"/>
    <w:rsid w:val="00A80F69"/>
    <w:rsid w:val="00A81175"/>
    <w:rsid w:val="00A814D7"/>
    <w:rsid w:val="00A868DD"/>
    <w:rsid w:val="00A876D0"/>
    <w:rsid w:val="00A90151"/>
    <w:rsid w:val="00A90F3D"/>
    <w:rsid w:val="00A93162"/>
    <w:rsid w:val="00A94DBA"/>
    <w:rsid w:val="00AA7F7A"/>
    <w:rsid w:val="00AB0EED"/>
    <w:rsid w:val="00AB10FB"/>
    <w:rsid w:val="00AB1A59"/>
    <w:rsid w:val="00AB2F02"/>
    <w:rsid w:val="00AB3C33"/>
    <w:rsid w:val="00AB68CA"/>
    <w:rsid w:val="00AC1DEE"/>
    <w:rsid w:val="00AC3D19"/>
    <w:rsid w:val="00AC7EF7"/>
    <w:rsid w:val="00AD0AB4"/>
    <w:rsid w:val="00AD6B8B"/>
    <w:rsid w:val="00AE1125"/>
    <w:rsid w:val="00AE15A9"/>
    <w:rsid w:val="00AE2B3C"/>
    <w:rsid w:val="00AE3638"/>
    <w:rsid w:val="00AF0899"/>
    <w:rsid w:val="00AF1574"/>
    <w:rsid w:val="00AF4D11"/>
    <w:rsid w:val="00AF4E2C"/>
    <w:rsid w:val="00AF6BE7"/>
    <w:rsid w:val="00B057CC"/>
    <w:rsid w:val="00B06D6D"/>
    <w:rsid w:val="00B1128D"/>
    <w:rsid w:val="00B12293"/>
    <w:rsid w:val="00B12BF5"/>
    <w:rsid w:val="00B13ACD"/>
    <w:rsid w:val="00B148A5"/>
    <w:rsid w:val="00B1798A"/>
    <w:rsid w:val="00B20226"/>
    <w:rsid w:val="00B20548"/>
    <w:rsid w:val="00B20970"/>
    <w:rsid w:val="00B227C5"/>
    <w:rsid w:val="00B253F6"/>
    <w:rsid w:val="00B27B41"/>
    <w:rsid w:val="00B31A53"/>
    <w:rsid w:val="00B33EE1"/>
    <w:rsid w:val="00B341A9"/>
    <w:rsid w:val="00B472BE"/>
    <w:rsid w:val="00B47F96"/>
    <w:rsid w:val="00B51299"/>
    <w:rsid w:val="00B513A1"/>
    <w:rsid w:val="00B5149F"/>
    <w:rsid w:val="00B52BC7"/>
    <w:rsid w:val="00B53F62"/>
    <w:rsid w:val="00B60AB5"/>
    <w:rsid w:val="00B6486C"/>
    <w:rsid w:val="00B67682"/>
    <w:rsid w:val="00B72CC7"/>
    <w:rsid w:val="00B750A2"/>
    <w:rsid w:val="00B7770B"/>
    <w:rsid w:val="00B80AA8"/>
    <w:rsid w:val="00B82697"/>
    <w:rsid w:val="00B83A2C"/>
    <w:rsid w:val="00B85053"/>
    <w:rsid w:val="00B8676F"/>
    <w:rsid w:val="00B918EC"/>
    <w:rsid w:val="00B9419A"/>
    <w:rsid w:val="00B96A61"/>
    <w:rsid w:val="00B972BC"/>
    <w:rsid w:val="00BA08A5"/>
    <w:rsid w:val="00BA1B55"/>
    <w:rsid w:val="00BA53EA"/>
    <w:rsid w:val="00BA76A5"/>
    <w:rsid w:val="00BB45D3"/>
    <w:rsid w:val="00BB54CE"/>
    <w:rsid w:val="00BC063F"/>
    <w:rsid w:val="00BC53B6"/>
    <w:rsid w:val="00BC5783"/>
    <w:rsid w:val="00BD3A8A"/>
    <w:rsid w:val="00BD610A"/>
    <w:rsid w:val="00BD7098"/>
    <w:rsid w:val="00BE142A"/>
    <w:rsid w:val="00BE2AE8"/>
    <w:rsid w:val="00BE3A10"/>
    <w:rsid w:val="00BE425F"/>
    <w:rsid w:val="00BE46CD"/>
    <w:rsid w:val="00BE6E43"/>
    <w:rsid w:val="00C0358B"/>
    <w:rsid w:val="00C05528"/>
    <w:rsid w:val="00C058C2"/>
    <w:rsid w:val="00C075EF"/>
    <w:rsid w:val="00C07DBD"/>
    <w:rsid w:val="00C102C9"/>
    <w:rsid w:val="00C14D79"/>
    <w:rsid w:val="00C14F9E"/>
    <w:rsid w:val="00C151E2"/>
    <w:rsid w:val="00C20B7F"/>
    <w:rsid w:val="00C24289"/>
    <w:rsid w:val="00C262BF"/>
    <w:rsid w:val="00C27D08"/>
    <w:rsid w:val="00C3187B"/>
    <w:rsid w:val="00C3194F"/>
    <w:rsid w:val="00C31E7F"/>
    <w:rsid w:val="00C36684"/>
    <w:rsid w:val="00C36E4A"/>
    <w:rsid w:val="00C44C9B"/>
    <w:rsid w:val="00C460D6"/>
    <w:rsid w:val="00C51FCF"/>
    <w:rsid w:val="00C5314E"/>
    <w:rsid w:val="00C55C0C"/>
    <w:rsid w:val="00C5686D"/>
    <w:rsid w:val="00C60BA8"/>
    <w:rsid w:val="00C6336B"/>
    <w:rsid w:val="00C65B8E"/>
    <w:rsid w:val="00C717BC"/>
    <w:rsid w:val="00C71BFB"/>
    <w:rsid w:val="00C776EE"/>
    <w:rsid w:val="00C80072"/>
    <w:rsid w:val="00C803AD"/>
    <w:rsid w:val="00C80C4E"/>
    <w:rsid w:val="00C82AC5"/>
    <w:rsid w:val="00C831A0"/>
    <w:rsid w:val="00C8750F"/>
    <w:rsid w:val="00C903B6"/>
    <w:rsid w:val="00C916E9"/>
    <w:rsid w:val="00C91816"/>
    <w:rsid w:val="00C91C96"/>
    <w:rsid w:val="00C94C78"/>
    <w:rsid w:val="00C94F06"/>
    <w:rsid w:val="00C9699C"/>
    <w:rsid w:val="00C96E52"/>
    <w:rsid w:val="00CA021A"/>
    <w:rsid w:val="00CA0B12"/>
    <w:rsid w:val="00CA232F"/>
    <w:rsid w:val="00CA3190"/>
    <w:rsid w:val="00CA37E9"/>
    <w:rsid w:val="00CA7560"/>
    <w:rsid w:val="00CB0E8F"/>
    <w:rsid w:val="00CB2468"/>
    <w:rsid w:val="00CB344C"/>
    <w:rsid w:val="00CB3464"/>
    <w:rsid w:val="00CB3DD2"/>
    <w:rsid w:val="00CB48BE"/>
    <w:rsid w:val="00CB6C71"/>
    <w:rsid w:val="00CC008D"/>
    <w:rsid w:val="00CC1EF4"/>
    <w:rsid w:val="00CC24D6"/>
    <w:rsid w:val="00CC276C"/>
    <w:rsid w:val="00CC29A5"/>
    <w:rsid w:val="00CC35A6"/>
    <w:rsid w:val="00CC493B"/>
    <w:rsid w:val="00CC5314"/>
    <w:rsid w:val="00CD0582"/>
    <w:rsid w:val="00CD3A10"/>
    <w:rsid w:val="00CD3A3F"/>
    <w:rsid w:val="00CD4668"/>
    <w:rsid w:val="00CD4B70"/>
    <w:rsid w:val="00CD655A"/>
    <w:rsid w:val="00CD71E5"/>
    <w:rsid w:val="00CE1AEF"/>
    <w:rsid w:val="00CE4459"/>
    <w:rsid w:val="00CE779E"/>
    <w:rsid w:val="00CF02E0"/>
    <w:rsid w:val="00CF0395"/>
    <w:rsid w:val="00CF1CD1"/>
    <w:rsid w:val="00CF3223"/>
    <w:rsid w:val="00CF4861"/>
    <w:rsid w:val="00CF7AF2"/>
    <w:rsid w:val="00D002B7"/>
    <w:rsid w:val="00D02CC1"/>
    <w:rsid w:val="00D06176"/>
    <w:rsid w:val="00D07423"/>
    <w:rsid w:val="00D0787C"/>
    <w:rsid w:val="00D11912"/>
    <w:rsid w:val="00D15047"/>
    <w:rsid w:val="00D15620"/>
    <w:rsid w:val="00D15D69"/>
    <w:rsid w:val="00D165E7"/>
    <w:rsid w:val="00D172C7"/>
    <w:rsid w:val="00D2095C"/>
    <w:rsid w:val="00D22463"/>
    <w:rsid w:val="00D26031"/>
    <w:rsid w:val="00D304E8"/>
    <w:rsid w:val="00D3300B"/>
    <w:rsid w:val="00D331FA"/>
    <w:rsid w:val="00D34CCD"/>
    <w:rsid w:val="00D37A6D"/>
    <w:rsid w:val="00D37AF3"/>
    <w:rsid w:val="00D4185D"/>
    <w:rsid w:val="00D44C34"/>
    <w:rsid w:val="00D51553"/>
    <w:rsid w:val="00D5184C"/>
    <w:rsid w:val="00D51B0E"/>
    <w:rsid w:val="00D63365"/>
    <w:rsid w:val="00D657A5"/>
    <w:rsid w:val="00D66077"/>
    <w:rsid w:val="00D66DD8"/>
    <w:rsid w:val="00D716B6"/>
    <w:rsid w:val="00D71AB5"/>
    <w:rsid w:val="00D741ED"/>
    <w:rsid w:val="00D76FF6"/>
    <w:rsid w:val="00D80599"/>
    <w:rsid w:val="00D82E13"/>
    <w:rsid w:val="00D82FB7"/>
    <w:rsid w:val="00D831E8"/>
    <w:rsid w:val="00D83A47"/>
    <w:rsid w:val="00D84DE3"/>
    <w:rsid w:val="00D850A4"/>
    <w:rsid w:val="00D87DB9"/>
    <w:rsid w:val="00D931E3"/>
    <w:rsid w:val="00D9426F"/>
    <w:rsid w:val="00DA1EAD"/>
    <w:rsid w:val="00DA3593"/>
    <w:rsid w:val="00DA6A89"/>
    <w:rsid w:val="00DA6B6E"/>
    <w:rsid w:val="00DB1C5E"/>
    <w:rsid w:val="00DB2EAA"/>
    <w:rsid w:val="00DB31FF"/>
    <w:rsid w:val="00DB5FEE"/>
    <w:rsid w:val="00DB7007"/>
    <w:rsid w:val="00DC224C"/>
    <w:rsid w:val="00DC356E"/>
    <w:rsid w:val="00DC4FE2"/>
    <w:rsid w:val="00DC5806"/>
    <w:rsid w:val="00DC66AF"/>
    <w:rsid w:val="00DD4F52"/>
    <w:rsid w:val="00DD4F5B"/>
    <w:rsid w:val="00DD5325"/>
    <w:rsid w:val="00DD5672"/>
    <w:rsid w:val="00DD73AA"/>
    <w:rsid w:val="00DE0A08"/>
    <w:rsid w:val="00DE2BE0"/>
    <w:rsid w:val="00DE41C4"/>
    <w:rsid w:val="00DE7B22"/>
    <w:rsid w:val="00DF00F9"/>
    <w:rsid w:val="00DF0ED1"/>
    <w:rsid w:val="00E06BB7"/>
    <w:rsid w:val="00E11102"/>
    <w:rsid w:val="00E12DB4"/>
    <w:rsid w:val="00E13E79"/>
    <w:rsid w:val="00E144CC"/>
    <w:rsid w:val="00E176B0"/>
    <w:rsid w:val="00E261E7"/>
    <w:rsid w:val="00E3102B"/>
    <w:rsid w:val="00E32A7F"/>
    <w:rsid w:val="00E332A2"/>
    <w:rsid w:val="00E344C3"/>
    <w:rsid w:val="00E37458"/>
    <w:rsid w:val="00E4116D"/>
    <w:rsid w:val="00E43807"/>
    <w:rsid w:val="00E44F96"/>
    <w:rsid w:val="00E4525F"/>
    <w:rsid w:val="00E51049"/>
    <w:rsid w:val="00E552F3"/>
    <w:rsid w:val="00E55DA1"/>
    <w:rsid w:val="00E609B1"/>
    <w:rsid w:val="00E61170"/>
    <w:rsid w:val="00E61CD6"/>
    <w:rsid w:val="00E62503"/>
    <w:rsid w:val="00E65AC6"/>
    <w:rsid w:val="00E6645E"/>
    <w:rsid w:val="00E67E97"/>
    <w:rsid w:val="00E73495"/>
    <w:rsid w:val="00E769DC"/>
    <w:rsid w:val="00E76BB3"/>
    <w:rsid w:val="00E771F0"/>
    <w:rsid w:val="00E82C13"/>
    <w:rsid w:val="00E83BCD"/>
    <w:rsid w:val="00E84C11"/>
    <w:rsid w:val="00E85DDE"/>
    <w:rsid w:val="00E86648"/>
    <w:rsid w:val="00E86AAE"/>
    <w:rsid w:val="00E873CE"/>
    <w:rsid w:val="00E93F3A"/>
    <w:rsid w:val="00E944B7"/>
    <w:rsid w:val="00EB1749"/>
    <w:rsid w:val="00EB4292"/>
    <w:rsid w:val="00EB5933"/>
    <w:rsid w:val="00EC1E81"/>
    <w:rsid w:val="00EC34F0"/>
    <w:rsid w:val="00ED15EA"/>
    <w:rsid w:val="00ED256F"/>
    <w:rsid w:val="00EE2BBD"/>
    <w:rsid w:val="00EE57B6"/>
    <w:rsid w:val="00EE59D3"/>
    <w:rsid w:val="00EE6C7B"/>
    <w:rsid w:val="00EE6F5A"/>
    <w:rsid w:val="00EF1B7A"/>
    <w:rsid w:val="00EF423F"/>
    <w:rsid w:val="00EF4500"/>
    <w:rsid w:val="00EF5992"/>
    <w:rsid w:val="00EF5D8E"/>
    <w:rsid w:val="00EF738E"/>
    <w:rsid w:val="00F02994"/>
    <w:rsid w:val="00F044AB"/>
    <w:rsid w:val="00F04C5E"/>
    <w:rsid w:val="00F10770"/>
    <w:rsid w:val="00F13E06"/>
    <w:rsid w:val="00F1497B"/>
    <w:rsid w:val="00F22D1B"/>
    <w:rsid w:val="00F241EF"/>
    <w:rsid w:val="00F311DF"/>
    <w:rsid w:val="00F32ADD"/>
    <w:rsid w:val="00F33703"/>
    <w:rsid w:val="00F351C8"/>
    <w:rsid w:val="00F363EB"/>
    <w:rsid w:val="00F37CBA"/>
    <w:rsid w:val="00F40330"/>
    <w:rsid w:val="00F4075D"/>
    <w:rsid w:val="00F40EAA"/>
    <w:rsid w:val="00F42E1F"/>
    <w:rsid w:val="00F44C09"/>
    <w:rsid w:val="00F4638C"/>
    <w:rsid w:val="00F510AD"/>
    <w:rsid w:val="00F5146D"/>
    <w:rsid w:val="00F51FB3"/>
    <w:rsid w:val="00F63500"/>
    <w:rsid w:val="00F65B24"/>
    <w:rsid w:val="00F66ED9"/>
    <w:rsid w:val="00F70D15"/>
    <w:rsid w:val="00F72032"/>
    <w:rsid w:val="00F74772"/>
    <w:rsid w:val="00F750AA"/>
    <w:rsid w:val="00F75CA3"/>
    <w:rsid w:val="00F766DD"/>
    <w:rsid w:val="00F812E4"/>
    <w:rsid w:val="00F823F7"/>
    <w:rsid w:val="00F90107"/>
    <w:rsid w:val="00F90C02"/>
    <w:rsid w:val="00F915CB"/>
    <w:rsid w:val="00F94D35"/>
    <w:rsid w:val="00F965B7"/>
    <w:rsid w:val="00FA679F"/>
    <w:rsid w:val="00FB084A"/>
    <w:rsid w:val="00FB1B78"/>
    <w:rsid w:val="00FB21A9"/>
    <w:rsid w:val="00FB3D78"/>
    <w:rsid w:val="00FB5390"/>
    <w:rsid w:val="00FB5CA2"/>
    <w:rsid w:val="00FB6604"/>
    <w:rsid w:val="00FB69DD"/>
    <w:rsid w:val="00FB73FF"/>
    <w:rsid w:val="00FC0BC6"/>
    <w:rsid w:val="00FC1984"/>
    <w:rsid w:val="00FC48FD"/>
    <w:rsid w:val="00FC6D31"/>
    <w:rsid w:val="00FD2ADE"/>
    <w:rsid w:val="00FD3488"/>
    <w:rsid w:val="00FD3A85"/>
    <w:rsid w:val="00FD4F14"/>
    <w:rsid w:val="00FD5C3D"/>
    <w:rsid w:val="00FD78D0"/>
    <w:rsid w:val="00FE1804"/>
    <w:rsid w:val="00FE3946"/>
    <w:rsid w:val="00FF1E16"/>
    <w:rsid w:val="00FF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26CA"/>
  <w15:chartTrackingRefBased/>
  <w15:docId w15:val="{1AFF7EE7-16DC-43E9-82CD-51F7A4CD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184C"/>
    <w:pPr>
      <w:spacing w:line="320" w:lineRule="atLeast"/>
      <w:jc w:val="both"/>
    </w:pPr>
    <w:rPr>
      <w:rFonts w:ascii="Arial" w:eastAsia="Times New Roman" w:hAnsi="Arial"/>
      <w:sz w:val="22"/>
      <w:szCs w:val="24"/>
      <w:lang w:eastAsia="en-US"/>
    </w:rPr>
  </w:style>
  <w:style w:type="paragraph" w:styleId="berschrift1">
    <w:name w:val="heading 1"/>
    <w:basedOn w:val="Standard"/>
    <w:next w:val="Standard"/>
    <w:qFormat/>
    <w:rsid w:val="00C151E2"/>
    <w:pPr>
      <w:numPr>
        <w:numId w:val="24"/>
      </w:numPr>
      <w:outlineLvl w:val="0"/>
    </w:pPr>
    <w:rPr>
      <w:rFonts w:eastAsiaTheme="minorEastAsia" w:cs="Arial"/>
      <w:bCs/>
      <w:kern w:val="32"/>
      <w:szCs w:val="32"/>
      <w:lang w:eastAsia="zh-CN"/>
    </w:rPr>
  </w:style>
  <w:style w:type="paragraph" w:styleId="berschrift2">
    <w:name w:val="heading 2"/>
    <w:basedOn w:val="Standard"/>
    <w:next w:val="Standard"/>
    <w:qFormat/>
    <w:rsid w:val="00C151E2"/>
    <w:pPr>
      <w:numPr>
        <w:ilvl w:val="1"/>
        <w:numId w:val="24"/>
      </w:numPr>
      <w:outlineLvl w:val="1"/>
    </w:pPr>
    <w:rPr>
      <w:rFonts w:eastAsiaTheme="minorEastAsia" w:cs="Arial"/>
      <w:bCs/>
      <w:iCs/>
      <w:szCs w:val="28"/>
      <w:lang w:eastAsia="zh-CN"/>
    </w:rPr>
  </w:style>
  <w:style w:type="paragraph" w:styleId="berschrift3">
    <w:name w:val="heading 3"/>
    <w:basedOn w:val="Standard"/>
    <w:next w:val="Standard"/>
    <w:qFormat/>
    <w:rsid w:val="00C151E2"/>
    <w:pPr>
      <w:numPr>
        <w:ilvl w:val="2"/>
        <w:numId w:val="24"/>
      </w:numPr>
      <w:spacing w:after="120"/>
      <w:outlineLvl w:val="2"/>
    </w:pPr>
    <w:rPr>
      <w:rFonts w:eastAsiaTheme="minorEastAsia"/>
      <w:bCs/>
      <w:szCs w:val="26"/>
      <w:lang w:eastAsia="zh-CN"/>
    </w:rPr>
  </w:style>
  <w:style w:type="paragraph" w:styleId="berschrift4">
    <w:name w:val="heading 4"/>
    <w:basedOn w:val="Standard"/>
    <w:next w:val="Standard"/>
    <w:qFormat/>
    <w:rsid w:val="00EB5933"/>
    <w:pPr>
      <w:numPr>
        <w:ilvl w:val="3"/>
        <w:numId w:val="24"/>
      </w:numPr>
      <w:spacing w:after="120"/>
      <w:outlineLvl w:val="3"/>
    </w:pPr>
    <w:rPr>
      <w:rFonts w:eastAsiaTheme="minorEastAsia"/>
      <w:bCs/>
      <w:szCs w:val="28"/>
      <w:lang w:eastAsia="zh-CN"/>
    </w:rPr>
  </w:style>
  <w:style w:type="paragraph" w:styleId="berschrift5">
    <w:name w:val="heading 5"/>
    <w:basedOn w:val="Standard"/>
    <w:next w:val="Standard"/>
    <w:link w:val="berschrift5Zchn"/>
    <w:unhideWhenUsed/>
    <w:qFormat/>
    <w:rsid w:val="00C151E2"/>
    <w:pPr>
      <w:numPr>
        <w:ilvl w:val="4"/>
        <w:numId w:val="24"/>
      </w:numPr>
      <w:spacing w:line="240" w:lineRule="atLeast"/>
      <w:outlineLvl w:val="4"/>
    </w:pPr>
    <w:rPr>
      <w:rFonts w:eastAsiaTheme="majorEastAsia" w:cstheme="majorBidi"/>
      <w:lang w:eastAsia="zh-CN"/>
    </w:rPr>
  </w:style>
  <w:style w:type="paragraph" w:styleId="berschrift6">
    <w:name w:val="heading 6"/>
    <w:basedOn w:val="Standard"/>
    <w:next w:val="Standard"/>
    <w:link w:val="berschrift6Zchn"/>
    <w:unhideWhenUsed/>
    <w:qFormat/>
    <w:rsid w:val="006840F3"/>
    <w:pPr>
      <w:numPr>
        <w:ilvl w:val="5"/>
        <w:numId w:val="24"/>
      </w:numPr>
      <w:outlineLvl w:val="5"/>
    </w:pPr>
    <w:rPr>
      <w:rFonts w:eastAsiaTheme="majorEastAsia" w:cstheme="majorBidi"/>
      <w:iCs/>
      <w:lang w:eastAsia="zh-CN"/>
    </w:rPr>
  </w:style>
  <w:style w:type="paragraph" w:styleId="berschrift7">
    <w:name w:val="heading 7"/>
    <w:basedOn w:val="Standard"/>
    <w:next w:val="Standard"/>
    <w:link w:val="berschrift7Zchn"/>
    <w:unhideWhenUsed/>
    <w:qFormat/>
    <w:rsid w:val="00EB5933"/>
    <w:pPr>
      <w:numPr>
        <w:ilvl w:val="6"/>
        <w:numId w:val="24"/>
      </w:numPr>
      <w:outlineLvl w:val="6"/>
    </w:pPr>
    <w:rPr>
      <w:rFonts w:eastAsiaTheme="majorEastAsia" w:cstheme="majorBidi"/>
      <w:iCs/>
      <w:lang w:eastAsia="zh-CN"/>
    </w:rPr>
  </w:style>
  <w:style w:type="paragraph" w:styleId="berschrift8">
    <w:name w:val="heading 8"/>
    <w:basedOn w:val="Standard"/>
    <w:next w:val="Standard"/>
    <w:link w:val="berschrift8Zchn"/>
    <w:unhideWhenUsed/>
    <w:qFormat/>
    <w:rsid w:val="00EB5933"/>
    <w:pPr>
      <w:numPr>
        <w:ilvl w:val="7"/>
        <w:numId w:val="24"/>
      </w:numPr>
      <w:outlineLvl w:val="7"/>
    </w:pPr>
    <w:rPr>
      <w:rFonts w:eastAsiaTheme="majorEastAsia" w:cstheme="majorBidi"/>
      <w:szCs w:val="20"/>
      <w:lang w:eastAsia="zh-CN"/>
    </w:rPr>
  </w:style>
  <w:style w:type="paragraph" w:styleId="berschrift9">
    <w:name w:val="heading 9"/>
    <w:basedOn w:val="Standard"/>
    <w:next w:val="Standard"/>
    <w:link w:val="berschrift9Zchn"/>
    <w:unhideWhenUsed/>
    <w:qFormat/>
    <w:rsid w:val="006840F3"/>
    <w:pPr>
      <w:numPr>
        <w:ilvl w:val="8"/>
        <w:numId w:val="24"/>
      </w:numPr>
      <w:outlineLvl w:val="8"/>
    </w:pPr>
    <w:rPr>
      <w:rFonts w:eastAsiaTheme="majorEastAsia" w:cstheme="majorBidi"/>
      <w:iCs/>
      <w:szCs w:val="20"/>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paragraph">
    <w:name w:val="Heading paragraph"/>
    <w:basedOn w:val="Standard"/>
    <w:next w:val="Standard"/>
    <w:rsid w:val="00EB1749"/>
    <w:pPr>
      <w:tabs>
        <w:tab w:val="center" w:pos="57"/>
      </w:tabs>
      <w:spacing w:after="120"/>
      <w:jc w:val="center"/>
    </w:pPr>
    <w:rPr>
      <w:rFonts w:eastAsiaTheme="minorEastAsia"/>
      <w:b/>
      <w:lang w:eastAsia="zh-CN"/>
    </w:rPr>
  </w:style>
  <w:style w:type="paragraph" w:styleId="Kopfzeile">
    <w:name w:val="header"/>
    <w:basedOn w:val="Standard"/>
    <w:rsid w:val="00EB1749"/>
    <w:pPr>
      <w:tabs>
        <w:tab w:val="center" w:pos="4320"/>
        <w:tab w:val="right" w:pos="8640"/>
      </w:tabs>
    </w:pPr>
    <w:rPr>
      <w:rFonts w:eastAsiaTheme="minorEastAsia"/>
      <w:lang w:eastAsia="zh-CN"/>
    </w:rPr>
  </w:style>
  <w:style w:type="paragraph" w:styleId="Fuzeile">
    <w:name w:val="footer"/>
    <w:basedOn w:val="Standard"/>
    <w:rsid w:val="00F04C5E"/>
    <w:pPr>
      <w:tabs>
        <w:tab w:val="center" w:pos="4320"/>
        <w:tab w:val="right" w:pos="8640"/>
      </w:tabs>
      <w:jc w:val="center"/>
    </w:pPr>
    <w:rPr>
      <w:rFonts w:eastAsiaTheme="minorEastAsia"/>
      <w:sz w:val="18"/>
      <w:lang w:eastAsia="zh-CN"/>
    </w:rPr>
  </w:style>
  <w:style w:type="paragraph" w:customStyle="1" w:styleId="bullet3">
    <w:name w:val="bullet 3"/>
    <w:basedOn w:val="Standard"/>
    <w:rsid w:val="00D07423"/>
    <w:pPr>
      <w:numPr>
        <w:numId w:val="9"/>
      </w:numPr>
      <w:spacing w:after="120"/>
    </w:pPr>
    <w:rPr>
      <w:rFonts w:eastAsiaTheme="minorEastAsia"/>
      <w:lang w:eastAsia="zh-CN"/>
    </w:rPr>
  </w:style>
  <w:style w:type="paragraph" w:customStyle="1" w:styleId="bullet2">
    <w:name w:val="bullet 2"/>
    <w:basedOn w:val="Standard"/>
    <w:rsid w:val="00D07423"/>
    <w:pPr>
      <w:numPr>
        <w:numId w:val="2"/>
      </w:numPr>
      <w:spacing w:after="120"/>
    </w:pPr>
    <w:rPr>
      <w:rFonts w:eastAsiaTheme="minorEastAsia"/>
      <w:lang w:val="de-DE" w:eastAsia="zh-CN"/>
    </w:rPr>
  </w:style>
  <w:style w:type="paragraph" w:styleId="Index1">
    <w:name w:val="index 1"/>
    <w:basedOn w:val="Standard"/>
    <w:next w:val="Standard"/>
    <w:autoRedefine/>
    <w:semiHidden/>
    <w:rsid w:val="0067340D"/>
    <w:pPr>
      <w:ind w:left="220" w:hanging="220"/>
    </w:pPr>
    <w:rPr>
      <w:rFonts w:eastAsiaTheme="minorEastAsia"/>
      <w:lang w:eastAsia="zh-CN"/>
    </w:rPr>
  </w:style>
  <w:style w:type="paragraph" w:customStyle="1" w:styleId="bullet1">
    <w:name w:val="bullet 1"/>
    <w:basedOn w:val="Standard"/>
    <w:rsid w:val="009C0D38"/>
    <w:pPr>
      <w:numPr>
        <w:numId w:val="3"/>
      </w:numPr>
      <w:spacing w:after="120"/>
    </w:pPr>
    <w:rPr>
      <w:rFonts w:eastAsiaTheme="minorEastAsia"/>
      <w:lang w:val="de-DE" w:eastAsia="zh-CN"/>
    </w:rPr>
  </w:style>
  <w:style w:type="paragraph" w:styleId="Verzeichnis2">
    <w:name w:val="toc 2"/>
    <w:basedOn w:val="Standard"/>
    <w:next w:val="Standard"/>
    <w:autoRedefine/>
    <w:semiHidden/>
    <w:rsid w:val="008B5708"/>
    <w:pPr>
      <w:tabs>
        <w:tab w:val="left" w:pos="567"/>
        <w:tab w:val="right" w:leader="dot" w:pos="9470"/>
      </w:tabs>
      <w:spacing w:after="120"/>
    </w:pPr>
    <w:rPr>
      <w:rFonts w:eastAsiaTheme="minorEastAsia"/>
      <w:lang w:eastAsia="zh-CN"/>
    </w:rPr>
  </w:style>
  <w:style w:type="paragraph" w:styleId="Verzeichnis1">
    <w:name w:val="toc 1"/>
    <w:basedOn w:val="Standard"/>
    <w:next w:val="Standard"/>
    <w:autoRedefine/>
    <w:semiHidden/>
    <w:rsid w:val="00913DB6"/>
    <w:rPr>
      <w:rFonts w:eastAsiaTheme="minorEastAsia"/>
      <w:lang w:eastAsia="zh-CN"/>
    </w:rPr>
  </w:style>
  <w:style w:type="paragraph" w:styleId="Verzeichnis3">
    <w:name w:val="toc 3"/>
    <w:basedOn w:val="Standard"/>
    <w:next w:val="Standard"/>
    <w:autoRedefine/>
    <w:semiHidden/>
    <w:rsid w:val="00913DB6"/>
    <w:pPr>
      <w:spacing w:after="120"/>
      <w:ind w:left="567"/>
    </w:pPr>
    <w:rPr>
      <w:rFonts w:eastAsiaTheme="minorEastAsia"/>
      <w:lang w:eastAsia="zh-CN"/>
    </w:rPr>
  </w:style>
  <w:style w:type="paragraph" w:styleId="Verzeichnis9">
    <w:name w:val="toc 9"/>
    <w:basedOn w:val="Standard"/>
    <w:next w:val="Standard"/>
    <w:autoRedefine/>
    <w:semiHidden/>
    <w:rsid w:val="00913DB6"/>
    <w:pPr>
      <w:ind w:left="1760"/>
    </w:pPr>
    <w:rPr>
      <w:rFonts w:eastAsiaTheme="minorEastAsia"/>
      <w:lang w:eastAsia="zh-CN"/>
    </w:rPr>
  </w:style>
  <w:style w:type="paragraph" w:styleId="Verzeichnis4">
    <w:name w:val="toc 4"/>
    <w:basedOn w:val="Standard"/>
    <w:next w:val="Standard"/>
    <w:autoRedefine/>
    <w:semiHidden/>
    <w:rsid w:val="00EE6C7B"/>
    <w:pPr>
      <w:spacing w:after="120"/>
      <w:ind w:left="658"/>
    </w:pPr>
    <w:rPr>
      <w:rFonts w:eastAsiaTheme="minorEastAsia"/>
      <w:lang w:eastAsia="zh-CN"/>
    </w:rPr>
  </w:style>
  <w:style w:type="paragraph" w:styleId="Listennummer">
    <w:name w:val="List Number"/>
    <w:basedOn w:val="Standard"/>
    <w:rsid w:val="00EB1749"/>
    <w:pPr>
      <w:numPr>
        <w:numId w:val="6"/>
      </w:numPr>
      <w:spacing w:after="120"/>
    </w:pPr>
    <w:rPr>
      <w:rFonts w:eastAsiaTheme="minorEastAsia"/>
      <w:lang w:eastAsia="zh-CN"/>
    </w:rPr>
  </w:style>
  <w:style w:type="paragraph" w:styleId="Listennummer3">
    <w:name w:val="List Number 3"/>
    <w:basedOn w:val="Standard"/>
    <w:next w:val="Standard"/>
    <w:rsid w:val="00EB1749"/>
    <w:pPr>
      <w:numPr>
        <w:numId w:val="7"/>
      </w:numPr>
      <w:spacing w:after="120"/>
      <w:ind w:left="1417" w:hanging="737"/>
    </w:pPr>
    <w:rPr>
      <w:rFonts w:eastAsiaTheme="minorEastAsia"/>
      <w:lang w:eastAsia="zh-CN"/>
    </w:rPr>
  </w:style>
  <w:style w:type="paragraph" w:styleId="Listennummer4">
    <w:name w:val="List Number 4"/>
    <w:basedOn w:val="Standard"/>
    <w:rsid w:val="00677361"/>
    <w:pPr>
      <w:numPr>
        <w:numId w:val="8"/>
      </w:numPr>
      <w:spacing w:after="120"/>
      <w:ind w:left="1417" w:hanging="737"/>
    </w:pPr>
    <w:rPr>
      <w:rFonts w:eastAsiaTheme="minorEastAsia"/>
      <w:lang w:eastAsia="zh-CN"/>
    </w:rPr>
  </w:style>
  <w:style w:type="paragraph" w:styleId="Listenabsatz">
    <w:name w:val="List Paragraph"/>
    <w:basedOn w:val="Standard"/>
    <w:uiPriority w:val="34"/>
    <w:qFormat/>
    <w:rsid w:val="00885569"/>
    <w:pPr>
      <w:ind w:left="720"/>
      <w:contextualSpacing/>
    </w:pPr>
    <w:rPr>
      <w:rFonts w:eastAsiaTheme="minorEastAsia"/>
      <w:lang w:eastAsia="zh-CN"/>
    </w:rPr>
  </w:style>
  <w:style w:type="character" w:customStyle="1" w:styleId="berschrift5Zchn">
    <w:name w:val="Überschrift 5 Zchn"/>
    <w:basedOn w:val="Absatz-Standardschriftart"/>
    <w:link w:val="berschrift5"/>
    <w:rsid w:val="00C151E2"/>
    <w:rPr>
      <w:rFonts w:ascii="Arial" w:eastAsiaTheme="majorEastAsia" w:hAnsi="Arial" w:cstheme="majorBidi"/>
      <w:sz w:val="22"/>
      <w:szCs w:val="24"/>
    </w:rPr>
  </w:style>
  <w:style w:type="character" w:customStyle="1" w:styleId="berschrift6Zchn">
    <w:name w:val="Überschrift 6 Zchn"/>
    <w:basedOn w:val="Absatz-Standardschriftart"/>
    <w:link w:val="berschrift6"/>
    <w:rsid w:val="006840F3"/>
    <w:rPr>
      <w:rFonts w:ascii="Arial" w:eastAsiaTheme="majorEastAsia" w:hAnsi="Arial" w:cstheme="majorBidi"/>
      <w:iCs/>
      <w:sz w:val="22"/>
      <w:szCs w:val="24"/>
    </w:rPr>
  </w:style>
  <w:style w:type="character" w:customStyle="1" w:styleId="berschrift7Zchn">
    <w:name w:val="Überschrift 7 Zchn"/>
    <w:basedOn w:val="Absatz-Standardschriftart"/>
    <w:link w:val="berschrift7"/>
    <w:rsid w:val="00EB5933"/>
    <w:rPr>
      <w:rFonts w:ascii="Arial" w:eastAsiaTheme="majorEastAsia" w:hAnsi="Arial" w:cstheme="majorBidi"/>
      <w:iCs/>
      <w:sz w:val="22"/>
      <w:szCs w:val="24"/>
    </w:rPr>
  </w:style>
  <w:style w:type="character" w:customStyle="1" w:styleId="berschrift8Zchn">
    <w:name w:val="Überschrift 8 Zchn"/>
    <w:basedOn w:val="Absatz-Standardschriftart"/>
    <w:link w:val="berschrift8"/>
    <w:rsid w:val="00EB5933"/>
    <w:rPr>
      <w:rFonts w:ascii="Arial" w:eastAsiaTheme="majorEastAsia" w:hAnsi="Arial" w:cstheme="majorBidi"/>
      <w:sz w:val="22"/>
    </w:rPr>
  </w:style>
  <w:style w:type="character" w:customStyle="1" w:styleId="berschrift9Zchn">
    <w:name w:val="Überschrift 9 Zchn"/>
    <w:basedOn w:val="Absatz-Standardschriftart"/>
    <w:link w:val="berschrift9"/>
    <w:rsid w:val="006840F3"/>
    <w:rPr>
      <w:rFonts w:ascii="Arial" w:eastAsiaTheme="majorEastAsia" w:hAnsi="Arial" w:cstheme="majorBidi"/>
      <w:iCs/>
      <w:sz w:val="22"/>
    </w:rPr>
  </w:style>
  <w:style w:type="character" w:styleId="Hyperlink">
    <w:name w:val="Hyperlink"/>
    <w:basedOn w:val="Absatz-Standardschriftart"/>
    <w:unhideWhenUsed/>
    <w:rsid w:val="005879A9"/>
    <w:rPr>
      <w:color w:val="0000FF" w:themeColor="hyperlink"/>
      <w:u w:val="single"/>
    </w:rPr>
  </w:style>
  <w:style w:type="character" w:styleId="NichtaufgelsteErwhnung">
    <w:name w:val="Unresolved Mention"/>
    <w:basedOn w:val="Absatz-Standardschriftart"/>
    <w:uiPriority w:val="99"/>
    <w:semiHidden/>
    <w:unhideWhenUsed/>
    <w:rsid w:val="005879A9"/>
    <w:rPr>
      <w:color w:val="605E5C"/>
      <w:shd w:val="clear" w:color="auto" w:fill="E1DFDD"/>
    </w:rPr>
  </w:style>
  <w:style w:type="character" w:styleId="BesuchterLink">
    <w:name w:val="FollowedHyperlink"/>
    <w:basedOn w:val="Absatz-Standardschriftart"/>
    <w:semiHidden/>
    <w:unhideWhenUsed/>
    <w:rsid w:val="00E32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1761</Words>
  <Characters>12122</Characters>
  <Application>Microsoft Office Word</Application>
  <DocSecurity>0</DocSecurity>
  <Lines>195</Lines>
  <Paragraphs>75</Paragraphs>
  <ScaleCrop>false</ScaleCrop>
  <HeadingPairs>
    <vt:vector size="2" baseType="variant">
      <vt:variant>
        <vt:lpstr>Titel</vt:lpstr>
      </vt:variant>
      <vt:variant>
        <vt:i4>1</vt:i4>
      </vt:variant>
    </vt:vector>
  </HeadingPairs>
  <TitlesOfParts>
    <vt:vector size="1" baseType="lpstr">
      <vt:lpstr/>
    </vt:vector>
  </TitlesOfParts>
  <Company>Luther</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Melchior, Ole</dc:creator>
  <cp:keywords/>
  <dc:description/>
  <cp:lastModifiedBy>Melchior, Ole</cp:lastModifiedBy>
  <cp:revision>15</cp:revision>
  <cp:lastPrinted>1900-12-31T22:00:00Z</cp:lastPrinted>
  <dcterms:created xsi:type="dcterms:W3CDTF">2025-08-11T19:58:00Z</dcterms:created>
  <dcterms:modified xsi:type="dcterms:W3CDTF">2025-09-17T12:21:00Z</dcterms:modified>
</cp:coreProperties>
</file>